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临江市财政衔接推进乡村振兴</w:t>
      </w:r>
    </w:p>
    <w:p>
      <w:pPr>
        <w:spacing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补助资金管理实施细则</w:t>
      </w:r>
    </w:p>
    <w:bookmarkEnd w:id="0"/>
    <w:p>
      <w:pPr>
        <w:spacing w:line="576" w:lineRule="exact"/>
        <w:jc w:val="center"/>
        <w:rPr>
          <w:rFonts w:hint="eastAsia" w:ascii="黑体" w:hAnsi="黑体" w:eastAsia="黑体" w:cs="黑体"/>
          <w:bCs/>
          <w:sz w:val="32"/>
          <w:szCs w:val="32"/>
        </w:rPr>
      </w:pPr>
    </w:p>
    <w:p>
      <w:pPr>
        <w:numPr>
          <w:ilvl w:val="0"/>
          <w:numId w:val="1"/>
        </w:numPr>
        <w:spacing w:line="576" w:lineRule="exact"/>
        <w:jc w:val="center"/>
        <w:rPr>
          <w:rFonts w:hint="eastAsia" w:ascii="黑体" w:hAnsi="黑体" w:eastAsia="黑体" w:cs="黑体"/>
          <w:bCs/>
          <w:sz w:val="32"/>
          <w:szCs w:val="32"/>
        </w:rPr>
      </w:pPr>
      <w:r>
        <w:rPr>
          <w:rFonts w:hint="eastAsia" w:ascii="黑体" w:hAnsi="黑体" w:eastAsia="黑体" w:cs="黑体"/>
          <w:bCs/>
          <w:sz w:val="32"/>
          <w:szCs w:val="32"/>
        </w:rPr>
        <w:t>总则</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eastAsia="仿宋"/>
          <w:sz w:val="32"/>
          <w:szCs w:val="32"/>
        </w:rPr>
      </w:pPr>
      <w:r>
        <w:rPr>
          <w:rFonts w:eastAsia="仿宋"/>
          <w:b w:val="0"/>
          <w:bCs w:val="0"/>
          <w:sz w:val="32"/>
          <w:szCs w:val="32"/>
        </w:rPr>
        <w:t>第一条</w:t>
      </w:r>
      <w:r>
        <w:rPr>
          <w:rFonts w:eastAsia="仿宋"/>
          <w:sz w:val="32"/>
          <w:szCs w:val="32"/>
        </w:rPr>
        <w:t xml:space="preserve"> 为贯彻落实《中共中央</w:t>
      </w:r>
      <w:r>
        <w:rPr>
          <w:rFonts w:hint="eastAsia" w:eastAsia="仿宋"/>
          <w:sz w:val="32"/>
          <w:szCs w:val="32"/>
          <w:lang w:val="en-US" w:eastAsia="zh-CN"/>
        </w:rPr>
        <w:t xml:space="preserve"> </w:t>
      </w:r>
      <w:r>
        <w:rPr>
          <w:rFonts w:eastAsia="仿宋"/>
          <w:sz w:val="32"/>
          <w:szCs w:val="32"/>
        </w:rPr>
        <w:t xml:space="preserve"> 国务院关于实现巩固拓展脱贫攻坚成果同乡村振兴有效衔接的意见》</w:t>
      </w:r>
      <w:r>
        <w:rPr>
          <w:rFonts w:hint="eastAsia" w:ascii="仿宋" w:hAnsi="仿宋" w:eastAsia="仿宋" w:cs="仿宋"/>
          <w:sz w:val="32"/>
          <w:szCs w:val="32"/>
          <w:lang w:eastAsia="zh-CN"/>
        </w:rPr>
        <w:t>（</w:t>
      </w:r>
      <w:r>
        <w:rPr>
          <w:rFonts w:hint="eastAsia" w:ascii="仿宋" w:hAnsi="仿宋" w:eastAsia="仿宋" w:cs="仿宋"/>
          <w:i w:val="0"/>
          <w:iCs w:val="0"/>
          <w:caps w:val="0"/>
          <w:color w:val="000000"/>
          <w:spacing w:val="0"/>
          <w:sz w:val="32"/>
          <w:szCs w:val="32"/>
        </w:rPr>
        <w:t>中发〔2020〕30号</w:t>
      </w:r>
      <w:r>
        <w:rPr>
          <w:rFonts w:hint="eastAsia" w:ascii="仿宋" w:hAnsi="仿宋" w:eastAsia="仿宋" w:cs="仿宋"/>
          <w:sz w:val="32"/>
          <w:szCs w:val="32"/>
          <w:lang w:eastAsia="zh-CN"/>
        </w:rPr>
        <w:t>）</w:t>
      </w:r>
      <w:r>
        <w:rPr>
          <w:rFonts w:eastAsia="仿宋"/>
          <w:sz w:val="32"/>
          <w:szCs w:val="32"/>
        </w:rPr>
        <w:t>、《中共吉林省委</w:t>
      </w:r>
      <w:r>
        <w:rPr>
          <w:rFonts w:hint="eastAsia" w:eastAsia="仿宋"/>
          <w:sz w:val="32"/>
          <w:szCs w:val="32"/>
          <w:lang w:val="en-US" w:eastAsia="zh-CN"/>
        </w:rPr>
        <w:t xml:space="preserve"> </w:t>
      </w:r>
      <w:r>
        <w:rPr>
          <w:rFonts w:eastAsia="仿宋"/>
          <w:sz w:val="32"/>
          <w:szCs w:val="32"/>
        </w:rPr>
        <w:t xml:space="preserve"> 吉林省人民政府关于实现巩固拓展脱贫攻坚成果同乡村振兴有效衔接的实施意见》</w:t>
      </w:r>
      <w:r>
        <w:rPr>
          <w:rFonts w:hint="eastAsia" w:ascii="仿宋" w:hAnsi="仿宋" w:eastAsia="仿宋" w:cs="仿宋"/>
          <w:sz w:val="32"/>
          <w:szCs w:val="32"/>
          <w:lang w:eastAsia="zh-CN"/>
        </w:rPr>
        <w:t>（</w:t>
      </w:r>
      <w:r>
        <w:rPr>
          <w:rFonts w:hint="eastAsia" w:ascii="仿宋" w:hAnsi="仿宋" w:eastAsia="仿宋" w:cs="仿宋"/>
          <w:i w:val="0"/>
          <w:iCs w:val="0"/>
          <w:caps w:val="0"/>
          <w:color w:val="191919"/>
          <w:spacing w:val="0"/>
          <w:sz w:val="32"/>
          <w:szCs w:val="32"/>
          <w:shd w:val="clear" w:color="auto" w:fill="FFFFFF"/>
        </w:rPr>
        <w:t>吉发〔2021〕6号</w:t>
      </w:r>
      <w:r>
        <w:rPr>
          <w:rFonts w:hint="eastAsia" w:ascii="仿宋" w:hAnsi="仿宋" w:eastAsia="仿宋" w:cs="仿宋"/>
          <w:sz w:val="32"/>
          <w:szCs w:val="32"/>
          <w:lang w:eastAsia="zh-CN"/>
        </w:rPr>
        <w:t>）</w:t>
      </w:r>
      <w:r>
        <w:rPr>
          <w:rFonts w:eastAsia="仿宋"/>
          <w:sz w:val="32"/>
          <w:szCs w:val="32"/>
        </w:rPr>
        <w:t>精神，加强过渡期财政衔接推进乡村振兴补助资金（以下简称衔接资金）管理，提高资金使用效益，根据《中央财政衔接推进乡村振兴补助资金管理办法》</w:t>
      </w:r>
      <w:r>
        <w:rPr>
          <w:rFonts w:hint="eastAsia" w:eastAsia="仿宋"/>
          <w:sz w:val="32"/>
          <w:szCs w:val="32"/>
          <w:lang w:eastAsia="zh-CN"/>
        </w:rPr>
        <w:t>（</w:t>
      </w:r>
      <w:r>
        <w:rPr>
          <w:rFonts w:hint="eastAsia" w:ascii="仿宋" w:hAnsi="仿宋" w:eastAsia="仿宋" w:cs="仿宋"/>
          <w:sz w:val="32"/>
          <w:szCs w:val="32"/>
          <w:lang w:val="en-US" w:eastAsia="zh-CN"/>
        </w:rPr>
        <w:t>财农</w:t>
      </w:r>
      <w:r>
        <w:rPr>
          <w:rFonts w:hint="eastAsia" w:ascii="仿宋" w:hAnsi="仿宋" w:eastAsia="仿宋" w:cs="仿宋"/>
          <w:i w:val="0"/>
          <w:iCs w:val="0"/>
          <w:caps w:val="0"/>
          <w:color w:val="191919"/>
          <w:spacing w:val="0"/>
          <w:sz w:val="32"/>
          <w:szCs w:val="32"/>
          <w:shd w:val="clear" w:color="auto" w:fill="FFFFFF"/>
        </w:rPr>
        <w:t>〔</w:t>
      </w:r>
      <w:r>
        <w:rPr>
          <w:rFonts w:hint="eastAsia" w:ascii="仿宋" w:hAnsi="仿宋" w:eastAsia="仿宋" w:cs="仿宋"/>
          <w:sz w:val="32"/>
          <w:szCs w:val="32"/>
          <w:lang w:val="en-US" w:eastAsia="zh-CN"/>
        </w:rPr>
        <w:t>2021</w:t>
      </w:r>
      <w:r>
        <w:rPr>
          <w:rFonts w:hint="eastAsia" w:ascii="仿宋" w:hAnsi="仿宋" w:eastAsia="仿宋" w:cs="仿宋"/>
          <w:i w:val="0"/>
          <w:iCs w:val="0"/>
          <w:caps w:val="0"/>
          <w:color w:val="191919"/>
          <w:spacing w:val="0"/>
          <w:sz w:val="32"/>
          <w:szCs w:val="32"/>
          <w:shd w:val="clear" w:color="auto" w:fill="FFFFFF"/>
        </w:rPr>
        <w:t>〕</w:t>
      </w:r>
      <w:r>
        <w:rPr>
          <w:rFonts w:hint="eastAsia" w:ascii="仿宋" w:hAnsi="仿宋" w:eastAsia="仿宋" w:cs="仿宋"/>
          <w:sz w:val="32"/>
          <w:szCs w:val="32"/>
          <w:lang w:val="en-US" w:eastAsia="zh-CN"/>
        </w:rPr>
        <w:t>19</w:t>
      </w:r>
      <w:r>
        <w:rPr>
          <w:rFonts w:hint="eastAsia" w:eastAsia="仿宋"/>
          <w:sz w:val="32"/>
          <w:szCs w:val="32"/>
          <w:lang w:val="en-US" w:eastAsia="zh-CN"/>
        </w:rPr>
        <w:t>号</w:t>
      </w:r>
      <w:r>
        <w:rPr>
          <w:rFonts w:hint="eastAsia" w:eastAsia="仿宋"/>
          <w:sz w:val="32"/>
          <w:szCs w:val="32"/>
          <w:lang w:eastAsia="zh-CN"/>
        </w:rPr>
        <w:t>）</w:t>
      </w:r>
      <w:r>
        <w:rPr>
          <w:rFonts w:eastAsia="仿宋"/>
          <w:sz w:val="32"/>
          <w:szCs w:val="32"/>
        </w:rPr>
        <w:t>和《吉林省财政衔接推进乡村振兴补助资金管理实施办法》</w:t>
      </w:r>
      <w:r>
        <w:rPr>
          <w:rFonts w:hint="eastAsia" w:eastAsia="仿宋"/>
          <w:sz w:val="32"/>
          <w:szCs w:val="32"/>
          <w:lang w:eastAsia="zh-CN"/>
        </w:rPr>
        <w:t>（</w:t>
      </w:r>
      <w:r>
        <w:rPr>
          <w:rFonts w:hint="eastAsia" w:ascii="仿宋" w:hAnsi="仿宋" w:eastAsia="仿宋" w:cs="仿宋"/>
          <w:sz w:val="32"/>
          <w:szCs w:val="32"/>
          <w:lang w:val="en-US" w:eastAsia="zh-CN"/>
        </w:rPr>
        <w:t>吉财农</w:t>
      </w:r>
      <w:r>
        <w:rPr>
          <w:rFonts w:hint="eastAsia" w:ascii="仿宋" w:hAnsi="仿宋" w:eastAsia="仿宋" w:cs="仿宋"/>
          <w:i w:val="0"/>
          <w:iCs w:val="0"/>
          <w:caps w:val="0"/>
          <w:color w:val="191919"/>
          <w:spacing w:val="0"/>
          <w:sz w:val="32"/>
          <w:szCs w:val="32"/>
          <w:shd w:val="clear" w:color="auto" w:fill="FFFFFF"/>
        </w:rPr>
        <w:t>〔</w:t>
      </w:r>
      <w:r>
        <w:rPr>
          <w:rFonts w:hint="eastAsia" w:ascii="仿宋" w:hAnsi="仿宋" w:eastAsia="仿宋" w:cs="仿宋"/>
          <w:sz w:val="32"/>
          <w:szCs w:val="32"/>
          <w:lang w:val="en-US" w:eastAsia="zh-CN"/>
        </w:rPr>
        <w:t>2021</w:t>
      </w:r>
      <w:r>
        <w:rPr>
          <w:rFonts w:hint="eastAsia" w:ascii="仿宋" w:hAnsi="仿宋" w:eastAsia="仿宋" w:cs="仿宋"/>
          <w:i w:val="0"/>
          <w:iCs w:val="0"/>
          <w:caps w:val="0"/>
          <w:color w:val="191919"/>
          <w:spacing w:val="0"/>
          <w:sz w:val="32"/>
          <w:szCs w:val="32"/>
          <w:shd w:val="clear" w:color="auto" w:fill="FFFFFF"/>
        </w:rPr>
        <w:t>〕</w:t>
      </w:r>
      <w:r>
        <w:rPr>
          <w:rFonts w:hint="eastAsia" w:ascii="仿宋" w:hAnsi="仿宋" w:eastAsia="仿宋" w:cs="仿宋"/>
          <w:sz w:val="32"/>
          <w:szCs w:val="32"/>
          <w:lang w:val="en-US" w:eastAsia="zh-CN"/>
        </w:rPr>
        <w:t>614号</w:t>
      </w:r>
      <w:r>
        <w:rPr>
          <w:rFonts w:hint="eastAsia" w:eastAsia="仿宋"/>
          <w:sz w:val="32"/>
          <w:szCs w:val="32"/>
          <w:lang w:eastAsia="zh-CN"/>
        </w:rPr>
        <w:t>）</w:t>
      </w:r>
      <w:r>
        <w:rPr>
          <w:rFonts w:eastAsia="仿宋"/>
          <w:sz w:val="32"/>
          <w:szCs w:val="32"/>
        </w:rPr>
        <w:t>相关规定和要求，特制定</w:t>
      </w:r>
      <w:r>
        <w:rPr>
          <w:rFonts w:hint="eastAsia" w:eastAsia="仿宋"/>
          <w:sz w:val="32"/>
          <w:szCs w:val="32"/>
          <w:lang w:val="en-US" w:eastAsia="zh-CN"/>
        </w:rPr>
        <w:t>我市</w:t>
      </w:r>
      <w:r>
        <w:rPr>
          <w:rFonts w:eastAsia="仿宋"/>
          <w:sz w:val="32"/>
          <w:szCs w:val="32"/>
        </w:rPr>
        <w:t>实施细则。</w:t>
      </w:r>
    </w:p>
    <w:p>
      <w:pPr>
        <w:tabs>
          <w:tab w:val="left" w:pos="2160"/>
        </w:tabs>
        <w:snapToGrid w:val="0"/>
        <w:spacing w:line="576" w:lineRule="exact"/>
        <w:ind w:firstLine="640" w:firstLineChars="200"/>
        <w:rPr>
          <w:rFonts w:eastAsia="仿宋"/>
          <w:sz w:val="32"/>
          <w:szCs w:val="32"/>
        </w:rPr>
      </w:pPr>
      <w:r>
        <w:rPr>
          <w:rFonts w:eastAsia="仿宋"/>
          <w:b w:val="0"/>
          <w:bCs/>
          <w:sz w:val="32"/>
          <w:szCs w:val="32"/>
        </w:rPr>
        <w:t>第二条</w:t>
      </w:r>
      <w:r>
        <w:rPr>
          <w:rFonts w:eastAsia="仿宋"/>
          <w:b/>
          <w:sz w:val="32"/>
          <w:szCs w:val="32"/>
        </w:rPr>
        <w:t xml:space="preserve"> </w:t>
      </w:r>
      <w:r>
        <w:rPr>
          <w:rFonts w:eastAsia="仿宋"/>
          <w:sz w:val="32"/>
          <w:szCs w:val="32"/>
        </w:rPr>
        <w:t>衔接资金是中央财政、省级财政、市州级财政和地方本级财政通过一般公共预算安排的用于支持临江市巩固拓展脱贫攻坚成果同乡村振兴有效衔接的资金。</w:t>
      </w:r>
    </w:p>
    <w:p>
      <w:pPr>
        <w:tabs>
          <w:tab w:val="left" w:pos="2160"/>
        </w:tabs>
        <w:snapToGrid w:val="0"/>
        <w:spacing w:line="576" w:lineRule="exact"/>
        <w:ind w:firstLine="640" w:firstLineChars="200"/>
        <w:rPr>
          <w:rFonts w:eastAsia="仿宋"/>
          <w:sz w:val="32"/>
          <w:szCs w:val="32"/>
        </w:rPr>
      </w:pPr>
      <w:r>
        <w:rPr>
          <w:rFonts w:eastAsia="仿宋"/>
          <w:b w:val="0"/>
          <w:bCs w:val="0"/>
          <w:sz w:val="32"/>
          <w:szCs w:val="32"/>
        </w:rPr>
        <w:t>第三条</w:t>
      </w:r>
      <w:r>
        <w:rPr>
          <w:rFonts w:eastAsia="仿宋"/>
          <w:sz w:val="32"/>
          <w:szCs w:val="32"/>
        </w:rPr>
        <w:t xml:space="preserve"> 衔接资金的各项任务包括巩固拓展脱贫攻坚成果和乡村振兴、以工代赈、少数民族发展、欠发达国有林场巩固提升，分别由发改局、民宗局、农业农村局</w:t>
      </w:r>
      <w:r>
        <w:rPr>
          <w:rFonts w:hint="eastAsia" w:eastAsia="仿宋"/>
          <w:sz w:val="32"/>
          <w:szCs w:val="32"/>
          <w:lang w:eastAsia="zh-CN"/>
        </w:rPr>
        <w:t>（</w:t>
      </w:r>
      <w:r>
        <w:rPr>
          <w:rFonts w:eastAsia="仿宋"/>
          <w:sz w:val="32"/>
          <w:szCs w:val="32"/>
        </w:rPr>
        <w:t>乡村振兴局</w:t>
      </w:r>
      <w:r>
        <w:rPr>
          <w:rFonts w:hint="eastAsia" w:eastAsia="仿宋"/>
          <w:sz w:val="32"/>
          <w:szCs w:val="32"/>
          <w:lang w:eastAsia="zh-CN"/>
        </w:rPr>
        <w:t>）</w:t>
      </w:r>
      <w:r>
        <w:rPr>
          <w:rFonts w:eastAsia="仿宋"/>
          <w:sz w:val="32"/>
          <w:szCs w:val="32"/>
        </w:rPr>
        <w:t>、林业局（以下简称各行业主管部门）会同财政局进行管理。</w:t>
      </w:r>
    </w:p>
    <w:p>
      <w:pPr>
        <w:snapToGrid w:val="0"/>
        <w:spacing w:line="576" w:lineRule="exact"/>
        <w:ind w:firstLine="630" w:firstLineChars="197"/>
        <w:rPr>
          <w:rFonts w:eastAsia="仿宋"/>
          <w:sz w:val="32"/>
          <w:szCs w:val="32"/>
        </w:rPr>
      </w:pPr>
      <w:r>
        <w:rPr>
          <w:rFonts w:eastAsia="仿宋"/>
          <w:b w:val="0"/>
          <w:bCs/>
          <w:sz w:val="32"/>
          <w:szCs w:val="32"/>
        </w:rPr>
        <w:t>第四条 本</w:t>
      </w:r>
      <w:r>
        <w:rPr>
          <w:rFonts w:eastAsia="仿宋"/>
          <w:bCs/>
          <w:sz w:val="32"/>
          <w:szCs w:val="32"/>
        </w:rPr>
        <w:t>级财政部门要根据巩固拓展脱贫攻坚成果同乡村振兴有效衔接的任务需要及财力情况，每年预算安排一定规模的本级衔接资金，保持投入力度总体稳定。</w:t>
      </w:r>
    </w:p>
    <w:p>
      <w:pPr>
        <w:tabs>
          <w:tab w:val="left" w:pos="2160"/>
        </w:tabs>
        <w:snapToGrid w:val="0"/>
        <w:spacing w:line="576" w:lineRule="exact"/>
        <w:jc w:val="center"/>
        <w:rPr>
          <w:rFonts w:ascii="黑体" w:hAnsi="黑体" w:eastAsia="黑体"/>
          <w:sz w:val="32"/>
          <w:szCs w:val="32"/>
        </w:rPr>
      </w:pPr>
      <w:r>
        <w:rPr>
          <w:rFonts w:ascii="黑体" w:hAnsi="黑体" w:eastAsia="黑体"/>
          <w:sz w:val="32"/>
          <w:szCs w:val="32"/>
        </w:rPr>
        <w:t>第二章 资金支出范围</w:t>
      </w:r>
    </w:p>
    <w:p>
      <w:pPr>
        <w:tabs>
          <w:tab w:val="left" w:pos="2160"/>
        </w:tabs>
        <w:snapToGrid w:val="0"/>
        <w:spacing w:line="576" w:lineRule="exact"/>
        <w:ind w:firstLine="640" w:firstLineChars="200"/>
        <w:rPr>
          <w:rFonts w:eastAsia="仿宋"/>
          <w:sz w:val="32"/>
          <w:szCs w:val="32"/>
        </w:rPr>
      </w:pPr>
      <w:r>
        <w:rPr>
          <w:rFonts w:eastAsia="仿宋"/>
          <w:b w:val="0"/>
          <w:bCs w:val="0"/>
          <w:sz w:val="32"/>
          <w:szCs w:val="32"/>
        </w:rPr>
        <w:t xml:space="preserve">第五条 </w:t>
      </w:r>
      <w:r>
        <w:rPr>
          <w:rFonts w:eastAsia="仿宋"/>
          <w:sz w:val="32"/>
          <w:szCs w:val="32"/>
        </w:rPr>
        <w:t>衔接资金主要用于以下方面：</w:t>
      </w:r>
    </w:p>
    <w:p>
      <w:pPr>
        <w:tabs>
          <w:tab w:val="left" w:pos="2160"/>
        </w:tabs>
        <w:snapToGrid w:val="0"/>
        <w:spacing w:line="576" w:lineRule="exact"/>
        <w:ind w:firstLine="640" w:firstLineChars="200"/>
        <w:rPr>
          <w:rFonts w:hint="eastAsia" w:ascii="楷体_GB2312" w:eastAsia="楷体_GB2312"/>
          <w:sz w:val="32"/>
          <w:szCs w:val="32"/>
        </w:rPr>
      </w:pPr>
      <w:r>
        <w:rPr>
          <w:rFonts w:hint="eastAsia" w:ascii="楷体_GB2312" w:eastAsia="楷体_GB2312"/>
          <w:sz w:val="32"/>
          <w:szCs w:val="32"/>
        </w:rPr>
        <w:t>（一）支持巩固拓展脱贫攻坚成果</w:t>
      </w:r>
    </w:p>
    <w:p>
      <w:pPr>
        <w:tabs>
          <w:tab w:val="left" w:pos="2160"/>
        </w:tabs>
        <w:snapToGrid w:val="0"/>
        <w:spacing w:line="576" w:lineRule="exact"/>
        <w:ind w:firstLine="640" w:firstLineChars="200"/>
        <w:rPr>
          <w:rFonts w:eastAsia="仿宋"/>
          <w:sz w:val="32"/>
          <w:szCs w:val="32"/>
        </w:rPr>
      </w:pPr>
      <w:r>
        <w:rPr>
          <w:rFonts w:eastAsia="仿宋"/>
          <w:sz w:val="32"/>
          <w:szCs w:val="32"/>
        </w:rPr>
        <w:t>1.健全防止返贫致贫监测和帮扶机制，加强监测预警，强化及时帮扶，对监测帮扶对象采取有针对性的预防性措施和事后帮扶措施。可安排家庭种植业、家庭养殖业、民族手工业、农产品加工业、农业产业服务、农旅结合和农产品销售、光伏、电商等产业发展所需的种苗、场地、设施设备、必要的田间基础设施，以及小额信贷贴息、生产经营和劳动技能培训、公益岗位补助等支出。低保、医保、养老保险、临时救助等综合保障措施，通过原资金渠道支持。监测预警工作经费通过各部门预算安排。</w:t>
      </w:r>
    </w:p>
    <w:p>
      <w:pPr>
        <w:tabs>
          <w:tab w:val="left" w:pos="2160"/>
        </w:tabs>
        <w:snapToGrid w:val="0"/>
        <w:spacing w:line="576" w:lineRule="exact"/>
        <w:ind w:firstLine="640" w:firstLineChars="200"/>
        <w:rPr>
          <w:rFonts w:eastAsia="仿宋"/>
          <w:sz w:val="32"/>
          <w:szCs w:val="32"/>
        </w:rPr>
      </w:pPr>
      <w:r>
        <w:rPr>
          <w:rFonts w:eastAsia="仿宋"/>
          <w:sz w:val="32"/>
          <w:szCs w:val="32"/>
        </w:rPr>
        <w:t>2.</w:t>
      </w:r>
      <w:r>
        <w:rPr>
          <w:rFonts w:hint="eastAsia" w:eastAsia="仿宋"/>
          <w:sz w:val="32"/>
          <w:szCs w:val="32"/>
          <w:lang w:eastAsia="zh-CN"/>
        </w:rPr>
        <w:t>“</w:t>
      </w:r>
      <w:r>
        <w:rPr>
          <w:rFonts w:eastAsia="仿宋"/>
          <w:sz w:val="32"/>
          <w:szCs w:val="32"/>
        </w:rPr>
        <w:t>十三五</w:t>
      </w:r>
      <w:r>
        <w:rPr>
          <w:rFonts w:hint="eastAsia" w:eastAsia="仿宋"/>
          <w:sz w:val="32"/>
          <w:szCs w:val="32"/>
          <w:lang w:eastAsia="zh-CN"/>
        </w:rPr>
        <w:t>”</w:t>
      </w:r>
      <w:r>
        <w:rPr>
          <w:rFonts w:eastAsia="仿宋"/>
          <w:sz w:val="32"/>
          <w:szCs w:val="32"/>
        </w:rPr>
        <w:t>易地扶贫搬迁后续扶持。支持实施带动搬迁群众发展的项目，对集中安置区聘用搬迁群众的公共服务岗位和</w:t>
      </w:r>
      <w:r>
        <w:rPr>
          <w:rFonts w:hint="eastAsia" w:eastAsia="仿宋"/>
          <w:sz w:val="32"/>
          <w:szCs w:val="32"/>
          <w:lang w:eastAsia="zh-CN"/>
        </w:rPr>
        <w:t>“</w:t>
      </w:r>
      <w:r>
        <w:rPr>
          <w:rFonts w:eastAsia="仿宋"/>
          <w:sz w:val="32"/>
          <w:szCs w:val="32"/>
        </w:rPr>
        <w:t>一站式</w:t>
      </w:r>
      <w:r>
        <w:rPr>
          <w:rFonts w:hint="eastAsia" w:eastAsia="仿宋"/>
          <w:sz w:val="32"/>
          <w:szCs w:val="32"/>
          <w:lang w:eastAsia="zh-CN"/>
        </w:rPr>
        <w:t>”</w:t>
      </w:r>
      <w:r>
        <w:rPr>
          <w:rFonts w:eastAsia="仿宋"/>
          <w:sz w:val="32"/>
          <w:szCs w:val="32"/>
        </w:rPr>
        <w:t>社区综合服务设施建设等费用予以适当补助。对调整规范后的地方政府债券按规定予以贴息补助。</w:t>
      </w:r>
    </w:p>
    <w:p>
      <w:pPr>
        <w:tabs>
          <w:tab w:val="left" w:pos="2160"/>
        </w:tabs>
        <w:snapToGrid w:val="0"/>
        <w:spacing w:line="576" w:lineRule="exact"/>
        <w:ind w:firstLine="640" w:firstLineChars="200"/>
        <w:rPr>
          <w:rFonts w:eastAsia="仿宋"/>
          <w:sz w:val="32"/>
          <w:szCs w:val="32"/>
        </w:rPr>
      </w:pPr>
      <w:r>
        <w:rPr>
          <w:rFonts w:eastAsia="仿宋"/>
          <w:sz w:val="32"/>
          <w:szCs w:val="32"/>
        </w:rPr>
        <w:t>3.外出务工脱贫劳动力（含监测帮扶对象）稳定就业，可对签订6个月以上劳动合同或就业协议并提供工资流水的跨省就业脱贫劳动力（含监测帮扶对象），年度内给予一次性户籍地到务工地单程交通票价（火车硬座、硬卧、高铁动车二等座、飞机经济舱、长途汽车等）据实补助，最高不超过800元；统一组织外送脱贫劳动力（含监测帮扶对象）的，按租赁交通工具费用据实全额补助。采取扶贫车间、以工代赈、生产奖补、劳务补助等方式促进返乡在乡脱贫劳动力发展产业和就业增收；在年度内对吸纳脱贫劳动力（含监控帮扶对象）就业累计达到6个月以上的农业企业、农民合作社、家庭农场等新型农业经营主体，可按照每带动1名脱贫劳动力（含监测帮扶对象），每年给予经营主体不超过800元、总额最高10万元的一次性生产补贴；继续向符合条件的脱贫家庭（含监测帮扶对象家庭）安排</w:t>
      </w:r>
      <w:r>
        <w:rPr>
          <w:rFonts w:hint="eastAsia" w:eastAsia="仿宋"/>
          <w:sz w:val="32"/>
          <w:szCs w:val="32"/>
          <w:lang w:eastAsia="zh-CN"/>
        </w:rPr>
        <w:t>“</w:t>
      </w:r>
      <w:r>
        <w:rPr>
          <w:rFonts w:eastAsia="仿宋"/>
          <w:sz w:val="32"/>
          <w:szCs w:val="32"/>
        </w:rPr>
        <w:t>雨露计划</w:t>
      </w:r>
      <w:r>
        <w:rPr>
          <w:rFonts w:hint="eastAsia" w:eastAsia="仿宋"/>
          <w:sz w:val="32"/>
          <w:szCs w:val="32"/>
          <w:lang w:eastAsia="zh-CN"/>
        </w:rPr>
        <w:t>”</w:t>
      </w:r>
      <w:r>
        <w:rPr>
          <w:rFonts w:eastAsia="仿宋"/>
          <w:sz w:val="32"/>
          <w:szCs w:val="32"/>
        </w:rPr>
        <w:t>补助。</w:t>
      </w:r>
    </w:p>
    <w:p>
      <w:pPr>
        <w:tabs>
          <w:tab w:val="left" w:pos="2160"/>
        </w:tabs>
        <w:snapToGrid w:val="0"/>
        <w:spacing w:line="576" w:lineRule="exact"/>
        <w:ind w:firstLine="640" w:firstLineChars="200"/>
        <w:rPr>
          <w:rFonts w:hint="eastAsia" w:ascii="楷体_GB2312" w:eastAsia="楷体_GB2312"/>
          <w:sz w:val="32"/>
          <w:szCs w:val="32"/>
        </w:rPr>
      </w:pPr>
      <w:r>
        <w:rPr>
          <w:rFonts w:hint="eastAsia" w:ascii="楷体_GB2312" w:eastAsia="楷体_GB2312"/>
          <w:sz w:val="32"/>
          <w:szCs w:val="32"/>
        </w:rPr>
        <w:t>（二）支持衔接推进乡村振兴</w:t>
      </w:r>
    </w:p>
    <w:p>
      <w:pPr>
        <w:tabs>
          <w:tab w:val="left" w:pos="2160"/>
        </w:tabs>
        <w:snapToGrid w:val="0"/>
        <w:spacing w:line="576" w:lineRule="exact"/>
        <w:ind w:firstLine="640" w:firstLineChars="200"/>
        <w:rPr>
          <w:rFonts w:eastAsia="仿宋"/>
          <w:sz w:val="32"/>
          <w:szCs w:val="32"/>
        </w:rPr>
      </w:pPr>
      <w:r>
        <w:rPr>
          <w:rFonts w:eastAsia="仿宋"/>
          <w:sz w:val="32"/>
          <w:szCs w:val="32"/>
        </w:rPr>
        <w:t>1.培育和壮大地区特色优势产业，支持农业品种培优、品质提升、品牌打造。重点支持玉米水稻、杂粮杂豆（油料作物）、生猪、肉牛肉羊、禽蛋、乳品、人参（中药材）、梅花鹿、果蔬、林下及林特（食用菌、林蛙、矿泉水等）十大优势特色产业集群全产业链项目建设，积极推广</w:t>
      </w:r>
      <w:r>
        <w:rPr>
          <w:rFonts w:hint="eastAsia" w:eastAsia="仿宋"/>
          <w:sz w:val="32"/>
          <w:szCs w:val="32"/>
          <w:lang w:eastAsia="zh-CN"/>
        </w:rPr>
        <w:t>“</w:t>
      </w:r>
      <w:r>
        <w:rPr>
          <w:rFonts w:eastAsia="仿宋"/>
          <w:sz w:val="32"/>
          <w:szCs w:val="32"/>
        </w:rPr>
        <w:t>一县一特、一乡一业、一村一品</w:t>
      </w:r>
      <w:r>
        <w:rPr>
          <w:rFonts w:hint="eastAsia" w:eastAsia="仿宋"/>
          <w:sz w:val="32"/>
          <w:szCs w:val="32"/>
          <w:lang w:eastAsia="zh-CN"/>
        </w:rPr>
        <w:t>”</w:t>
      </w:r>
      <w:r>
        <w:rPr>
          <w:rFonts w:eastAsia="仿宋"/>
          <w:sz w:val="32"/>
          <w:szCs w:val="32"/>
        </w:rPr>
        <w:t>。支持绿色、标准化、信息化和旱能灌、涝能排、宜机作业的种养产业基地建设；支持农产品初加工和精深加工，支持农产品加工业和食品产业做大做强做优；支持农产品田头市场、仓储保鲜冷链物流（以省级资金支持为主）等设施（设备）建设，推动乡村旅游和休闲农业发展；支持开展农产品品牌培育推介宣传。推动产销对接和消费帮扶，解决农产品</w:t>
      </w:r>
      <w:r>
        <w:rPr>
          <w:rFonts w:hint="eastAsia" w:eastAsia="仿宋"/>
          <w:sz w:val="32"/>
          <w:szCs w:val="32"/>
          <w:lang w:eastAsia="zh-CN"/>
        </w:rPr>
        <w:t>“</w:t>
      </w:r>
      <w:r>
        <w:rPr>
          <w:rFonts w:eastAsia="仿宋"/>
          <w:sz w:val="32"/>
          <w:szCs w:val="32"/>
        </w:rPr>
        <w:t>卖难</w:t>
      </w:r>
      <w:r>
        <w:rPr>
          <w:rFonts w:hint="eastAsia" w:eastAsia="仿宋"/>
          <w:sz w:val="32"/>
          <w:szCs w:val="32"/>
          <w:lang w:eastAsia="zh-CN"/>
        </w:rPr>
        <w:t>”</w:t>
      </w:r>
      <w:r>
        <w:rPr>
          <w:rFonts w:eastAsia="仿宋"/>
          <w:sz w:val="32"/>
          <w:szCs w:val="32"/>
        </w:rPr>
        <w:t>问题。对通过定点采购、电商销售等方式，积极推动滞销帮扶产品进市场、进商超、进学校、进社区的企业，每年可给予企业收购滞销帮扶产品总额不超过10%</w:t>
      </w:r>
      <w:r>
        <w:rPr>
          <w:rFonts w:hint="eastAsia" w:eastAsia="仿宋"/>
          <w:sz w:val="32"/>
          <w:szCs w:val="32"/>
          <w:lang w:eastAsia="zh-CN"/>
        </w:rPr>
        <w:t>、</w:t>
      </w:r>
      <w:r>
        <w:rPr>
          <w:rFonts w:eastAsia="仿宋"/>
          <w:sz w:val="32"/>
          <w:szCs w:val="32"/>
        </w:rPr>
        <w:t>最高5万元的一次性奖补。支持必要的产业配套基础设施建设</w:t>
      </w:r>
      <w:r>
        <w:rPr>
          <w:rFonts w:hint="eastAsia" w:eastAsia="仿宋"/>
          <w:sz w:val="32"/>
          <w:szCs w:val="32"/>
          <w:lang w:eastAsia="zh-CN"/>
        </w:rPr>
        <w:t>。</w:t>
      </w:r>
      <w:r>
        <w:rPr>
          <w:rFonts w:eastAsia="仿宋"/>
          <w:sz w:val="32"/>
          <w:szCs w:val="32"/>
        </w:rPr>
        <w:t>支持脱贫村发展壮大村级集体经济。</w:t>
      </w:r>
    </w:p>
    <w:p>
      <w:pPr>
        <w:tabs>
          <w:tab w:val="left" w:pos="2160"/>
        </w:tabs>
        <w:snapToGrid w:val="0"/>
        <w:spacing w:line="576" w:lineRule="exact"/>
        <w:ind w:firstLine="640" w:firstLineChars="200"/>
        <w:rPr>
          <w:rFonts w:eastAsia="仿宋"/>
          <w:sz w:val="32"/>
          <w:szCs w:val="32"/>
        </w:rPr>
      </w:pPr>
      <w:r>
        <w:rPr>
          <w:rFonts w:eastAsia="仿宋"/>
          <w:sz w:val="32"/>
          <w:szCs w:val="32"/>
        </w:rPr>
        <w:t>2.补齐必要的农村人居环境整治和小型公益性基础设施建设短板。主要包括水、电、路、网等农业生产配套设施，以及垃圾清运等小型公益性生活设施。教育、卫生、养老服务、文化等农村基本公共服务通过原资金渠道支持。</w:t>
      </w:r>
    </w:p>
    <w:p>
      <w:pPr>
        <w:tabs>
          <w:tab w:val="left" w:pos="2160"/>
        </w:tabs>
        <w:snapToGrid w:val="0"/>
        <w:spacing w:line="576" w:lineRule="exact"/>
        <w:ind w:firstLine="640" w:firstLineChars="200"/>
        <w:rPr>
          <w:rFonts w:eastAsia="仿宋"/>
          <w:sz w:val="32"/>
          <w:szCs w:val="32"/>
        </w:rPr>
      </w:pPr>
      <w:r>
        <w:rPr>
          <w:rFonts w:eastAsia="仿宋"/>
          <w:sz w:val="32"/>
          <w:szCs w:val="32"/>
        </w:rPr>
        <w:t>3.实施兴边富民行动、人口较少民族发展、少数民族特色产业和民族村寨发展</w:t>
      </w:r>
      <w:r>
        <w:rPr>
          <w:rFonts w:hint="eastAsia" w:eastAsia="仿宋"/>
          <w:sz w:val="32"/>
          <w:szCs w:val="32"/>
          <w:lang w:eastAsia="zh-CN"/>
        </w:rPr>
        <w:t>，</w:t>
      </w:r>
      <w:r>
        <w:rPr>
          <w:rFonts w:eastAsia="仿宋"/>
          <w:sz w:val="32"/>
          <w:szCs w:val="32"/>
        </w:rPr>
        <w:t>以工代赈项目。</w:t>
      </w:r>
    </w:p>
    <w:p>
      <w:pPr>
        <w:tabs>
          <w:tab w:val="left" w:pos="2160"/>
        </w:tabs>
        <w:snapToGrid w:val="0"/>
        <w:spacing w:line="576" w:lineRule="exact"/>
        <w:ind w:firstLine="640" w:firstLineChars="200"/>
        <w:rPr>
          <w:rFonts w:hint="eastAsia" w:ascii="楷体_GB2312" w:eastAsia="楷体_GB2312"/>
          <w:sz w:val="32"/>
          <w:szCs w:val="32"/>
        </w:rPr>
      </w:pPr>
      <w:r>
        <w:rPr>
          <w:rFonts w:hint="eastAsia" w:ascii="楷体_GB2312" w:eastAsia="楷体_GB2312"/>
          <w:sz w:val="32"/>
          <w:szCs w:val="32"/>
        </w:rPr>
        <w:t>（三）巩固拓展脱贫攻坚成果同乡村振兴有效衔接的其他相关支出</w:t>
      </w:r>
    </w:p>
    <w:p>
      <w:pPr>
        <w:tabs>
          <w:tab w:val="left" w:pos="2160"/>
        </w:tabs>
        <w:snapToGrid w:val="0"/>
        <w:spacing w:line="576" w:lineRule="exact"/>
        <w:ind w:firstLine="640" w:firstLineChars="200"/>
        <w:rPr>
          <w:rFonts w:eastAsia="仿宋"/>
          <w:sz w:val="32"/>
          <w:szCs w:val="32"/>
        </w:rPr>
      </w:pPr>
      <w:r>
        <w:rPr>
          <w:rFonts w:eastAsia="仿宋"/>
          <w:sz w:val="32"/>
          <w:szCs w:val="32"/>
        </w:rPr>
        <w:t>衔接资金不得用于与巩固拓展脱贫攻坚成果和乡村振兴无关的支出，包括：单位基本支出、交通工具及通讯设备、修建楼堂馆所、各种奖金津贴和福利补助、偿还债务和垫资等。偿还易地扶贫搬迁债务按有关规定执行。</w:t>
      </w:r>
    </w:p>
    <w:p>
      <w:pPr>
        <w:snapToGrid w:val="0"/>
        <w:spacing w:line="576" w:lineRule="exact"/>
        <w:ind w:firstLine="640" w:firstLineChars="200"/>
        <w:rPr>
          <w:rFonts w:eastAsia="仿宋"/>
          <w:sz w:val="32"/>
          <w:szCs w:val="32"/>
        </w:rPr>
      </w:pPr>
      <w:r>
        <w:rPr>
          <w:rFonts w:eastAsia="仿宋"/>
          <w:b w:val="0"/>
          <w:bCs w:val="0"/>
          <w:sz w:val="32"/>
          <w:szCs w:val="32"/>
        </w:rPr>
        <w:t>第六条</w:t>
      </w:r>
      <w:r>
        <w:rPr>
          <w:rFonts w:eastAsia="仿宋"/>
          <w:sz w:val="32"/>
          <w:szCs w:val="32"/>
        </w:rPr>
        <w:t xml:space="preserve"> 衔接资金可按照不超过1%的比例从中央和省级衔接资金中统筹安排项目管理费，用于项目前期设计、评审、招标、监理以及验收等与项目管理相关的支出，不足部分由本级配套衔接资金中统筹安排。</w:t>
      </w:r>
    </w:p>
    <w:p>
      <w:pPr>
        <w:numPr>
          <w:ilvl w:val="0"/>
          <w:numId w:val="2"/>
        </w:numPr>
        <w:tabs>
          <w:tab w:val="left" w:pos="2160"/>
        </w:tabs>
        <w:snapToGrid w:val="0"/>
        <w:spacing w:line="576" w:lineRule="exact"/>
        <w:jc w:val="center"/>
        <w:rPr>
          <w:rFonts w:ascii="黑体" w:hAnsi="黑体" w:eastAsia="黑体"/>
          <w:sz w:val="32"/>
          <w:szCs w:val="32"/>
        </w:rPr>
      </w:pPr>
      <w:r>
        <w:rPr>
          <w:rFonts w:ascii="黑体" w:hAnsi="黑体" w:eastAsia="黑体"/>
          <w:sz w:val="32"/>
          <w:szCs w:val="32"/>
        </w:rPr>
        <w:t>资金分配与下达</w:t>
      </w:r>
    </w:p>
    <w:p>
      <w:pPr>
        <w:numPr>
          <w:ilvl w:val="0"/>
          <w:numId w:val="3"/>
        </w:numPr>
        <w:tabs>
          <w:tab w:val="left" w:pos="2160"/>
        </w:tabs>
        <w:snapToGrid w:val="0"/>
        <w:spacing w:line="576" w:lineRule="exact"/>
        <w:ind w:firstLine="640" w:firstLineChars="200"/>
        <w:rPr>
          <w:rFonts w:eastAsia="仿宋"/>
          <w:sz w:val="32"/>
          <w:szCs w:val="32"/>
        </w:rPr>
      </w:pPr>
      <w:r>
        <w:rPr>
          <w:rFonts w:eastAsia="仿宋"/>
          <w:sz w:val="32"/>
          <w:szCs w:val="32"/>
        </w:rPr>
        <w:t>衔接资金是按照巩固拓展脱贫攻坚成果和乡村振兴、以工代赈、少数民族发展、欠发达国有林场巩固提升建设任务进行分配，具体资金分配方案将由农业农村局</w:t>
      </w:r>
      <w:r>
        <w:rPr>
          <w:rFonts w:hint="eastAsia" w:eastAsia="仿宋"/>
          <w:sz w:val="32"/>
          <w:szCs w:val="32"/>
          <w:lang w:eastAsia="zh-CN"/>
        </w:rPr>
        <w:t>（</w:t>
      </w:r>
      <w:r>
        <w:rPr>
          <w:rFonts w:eastAsia="仿宋"/>
          <w:sz w:val="32"/>
          <w:szCs w:val="32"/>
        </w:rPr>
        <w:t>乡村振兴局</w:t>
      </w:r>
      <w:r>
        <w:rPr>
          <w:rFonts w:hint="eastAsia" w:eastAsia="仿宋"/>
          <w:sz w:val="32"/>
          <w:szCs w:val="32"/>
          <w:lang w:eastAsia="zh-CN"/>
        </w:rPr>
        <w:t>）</w:t>
      </w:r>
      <w:r>
        <w:rPr>
          <w:rFonts w:eastAsia="仿宋"/>
          <w:sz w:val="32"/>
          <w:szCs w:val="32"/>
        </w:rPr>
        <w:t>、发改局、民宗局、林业局负责。</w:t>
      </w:r>
    </w:p>
    <w:p>
      <w:pPr>
        <w:snapToGrid w:val="0"/>
        <w:spacing w:line="576" w:lineRule="exact"/>
        <w:ind w:firstLine="640" w:firstLineChars="200"/>
        <w:rPr>
          <w:rFonts w:hint="eastAsia" w:eastAsia="仿宋"/>
          <w:sz w:val="32"/>
          <w:szCs w:val="32"/>
          <w:lang w:eastAsia="zh-CN"/>
        </w:rPr>
      </w:pPr>
      <w:r>
        <w:rPr>
          <w:rFonts w:eastAsia="仿宋"/>
          <w:b w:val="0"/>
          <w:bCs/>
          <w:sz w:val="32"/>
          <w:szCs w:val="32"/>
        </w:rPr>
        <w:t>第八条</w:t>
      </w:r>
      <w:r>
        <w:rPr>
          <w:rFonts w:eastAsia="仿宋"/>
          <w:b/>
          <w:sz w:val="32"/>
          <w:szCs w:val="32"/>
        </w:rPr>
        <w:t xml:space="preserve"> </w:t>
      </w:r>
      <w:r>
        <w:rPr>
          <w:rFonts w:eastAsia="仿宋"/>
          <w:bCs/>
          <w:sz w:val="32"/>
          <w:szCs w:val="32"/>
        </w:rPr>
        <w:t>衔接资金是由各行业主管部门确定的项目内容进行分配</w:t>
      </w:r>
      <w:r>
        <w:rPr>
          <w:rFonts w:hint="eastAsia" w:eastAsia="仿宋"/>
          <w:bCs/>
          <w:sz w:val="32"/>
          <w:szCs w:val="32"/>
          <w:lang w:eastAsia="zh-CN"/>
        </w:rPr>
        <w:t>。项</w:t>
      </w:r>
      <w:r>
        <w:rPr>
          <w:rFonts w:eastAsia="仿宋"/>
          <w:sz w:val="32"/>
          <w:szCs w:val="32"/>
        </w:rPr>
        <w:t>目可安排不超过60%的省级到县衔接资金和不超过30%的中央到县衔接资金，支持非贫困村发展产业、补齐必要的基础设施短板及本级乡村振兴规划相关项目（省级资金统筹比例将根据上级部门年度工作任务情况进行调整）。生产发展类项目资金投入比例不能低于中央和省级资金总额的50%（此比例将根据上级部门要求进行调整）</w:t>
      </w:r>
      <w:r>
        <w:rPr>
          <w:rFonts w:hint="eastAsia" w:eastAsia="仿宋"/>
          <w:sz w:val="32"/>
          <w:szCs w:val="32"/>
          <w:lang w:eastAsia="zh-CN"/>
        </w:rPr>
        <w:t>。</w:t>
      </w:r>
    </w:p>
    <w:p>
      <w:pPr>
        <w:tabs>
          <w:tab w:val="left" w:pos="2160"/>
        </w:tabs>
        <w:snapToGrid w:val="0"/>
        <w:spacing w:line="576" w:lineRule="exact"/>
        <w:ind w:firstLine="640" w:firstLineChars="200"/>
        <w:rPr>
          <w:rFonts w:eastAsia="仿宋"/>
          <w:sz w:val="32"/>
          <w:szCs w:val="32"/>
        </w:rPr>
      </w:pPr>
      <w:r>
        <w:rPr>
          <w:rFonts w:eastAsia="仿宋"/>
          <w:b w:val="0"/>
          <w:bCs w:val="0"/>
          <w:sz w:val="32"/>
          <w:szCs w:val="32"/>
        </w:rPr>
        <w:t>第九条</w:t>
      </w:r>
      <w:r>
        <w:rPr>
          <w:rFonts w:eastAsia="仿宋"/>
          <w:sz w:val="32"/>
          <w:szCs w:val="32"/>
        </w:rPr>
        <w:t xml:space="preserve"> </w:t>
      </w:r>
      <w:r>
        <w:rPr>
          <w:rFonts w:hint="eastAsia" w:eastAsia="仿宋"/>
          <w:sz w:val="32"/>
          <w:szCs w:val="32"/>
          <w:lang w:val="en-US" w:eastAsia="zh-CN"/>
        </w:rPr>
        <w:t>农业农村局（</w:t>
      </w:r>
      <w:r>
        <w:rPr>
          <w:rFonts w:eastAsia="仿宋"/>
          <w:sz w:val="32"/>
          <w:szCs w:val="32"/>
        </w:rPr>
        <w:t>乡村振兴局</w:t>
      </w:r>
      <w:r>
        <w:rPr>
          <w:rFonts w:hint="eastAsia" w:eastAsia="仿宋"/>
          <w:sz w:val="32"/>
          <w:szCs w:val="32"/>
          <w:lang w:val="en-US" w:eastAsia="zh-CN"/>
        </w:rPr>
        <w:t>）</w:t>
      </w:r>
      <w:r>
        <w:rPr>
          <w:rFonts w:eastAsia="仿宋"/>
          <w:sz w:val="32"/>
          <w:szCs w:val="32"/>
        </w:rPr>
        <w:t>和各行业主管部门要共同建立完善巩固拓展脱贫攻坚成果和乡村振兴项目库，提前做好项目储备，严格项目论证入库，衔接资金支持的项目原则上要从项目库选择，且符合本细则要求。</w:t>
      </w:r>
    </w:p>
    <w:p>
      <w:pPr>
        <w:snapToGrid w:val="0"/>
        <w:spacing w:line="576" w:lineRule="exact"/>
        <w:ind w:firstLine="630" w:firstLineChars="197"/>
        <w:rPr>
          <w:rFonts w:eastAsia="仿宋"/>
          <w:sz w:val="32"/>
          <w:szCs w:val="32"/>
        </w:rPr>
      </w:pPr>
      <w:r>
        <w:rPr>
          <w:rFonts w:eastAsia="仿宋"/>
          <w:b w:val="0"/>
          <w:bCs w:val="0"/>
          <w:sz w:val="32"/>
          <w:szCs w:val="32"/>
        </w:rPr>
        <w:t xml:space="preserve">第十条 </w:t>
      </w:r>
      <w:r>
        <w:rPr>
          <w:rFonts w:eastAsia="仿宋"/>
          <w:sz w:val="32"/>
          <w:szCs w:val="32"/>
        </w:rPr>
        <w:t>每年本级财政</w:t>
      </w:r>
      <w:r>
        <w:rPr>
          <w:rFonts w:hint="eastAsia" w:eastAsia="仿宋"/>
          <w:sz w:val="32"/>
          <w:szCs w:val="32"/>
          <w:lang w:val="en-US" w:eastAsia="zh-CN"/>
        </w:rPr>
        <w:t>局</w:t>
      </w:r>
      <w:r>
        <w:rPr>
          <w:rFonts w:eastAsia="仿宋"/>
          <w:sz w:val="32"/>
          <w:szCs w:val="32"/>
        </w:rPr>
        <w:t>收到上级衔接资金预算后，</w:t>
      </w:r>
      <w:r>
        <w:rPr>
          <w:rFonts w:hint="eastAsia" w:eastAsia="仿宋"/>
          <w:sz w:val="32"/>
          <w:szCs w:val="32"/>
          <w:lang w:val="en-US" w:eastAsia="zh-CN"/>
        </w:rPr>
        <w:t>农业农村局（乡村振兴局）和各</w:t>
      </w:r>
      <w:r>
        <w:rPr>
          <w:rFonts w:eastAsia="仿宋"/>
          <w:sz w:val="32"/>
          <w:szCs w:val="32"/>
        </w:rPr>
        <w:t>行业主管部门应及时拟定资金分配建议方案</w:t>
      </w:r>
      <w:r>
        <w:rPr>
          <w:rFonts w:hint="eastAsia" w:eastAsia="仿宋"/>
          <w:sz w:val="32"/>
          <w:szCs w:val="32"/>
          <w:lang w:val="en-US" w:eastAsia="zh-CN"/>
        </w:rPr>
        <w:t>报送本级财政部门</w:t>
      </w:r>
      <w:r>
        <w:rPr>
          <w:rFonts w:eastAsia="仿宋"/>
          <w:sz w:val="32"/>
          <w:szCs w:val="32"/>
        </w:rPr>
        <w:t>，本级财政部门汇总资金分配建议方案并审核确定后，按照资金分配方案</w:t>
      </w:r>
      <w:r>
        <w:rPr>
          <w:rFonts w:hint="eastAsia" w:eastAsia="仿宋"/>
          <w:sz w:val="32"/>
          <w:szCs w:val="32"/>
          <w:lang w:val="en-US" w:eastAsia="zh-CN"/>
        </w:rPr>
        <w:t>内容</w:t>
      </w:r>
      <w:r>
        <w:rPr>
          <w:rFonts w:eastAsia="仿宋"/>
          <w:sz w:val="32"/>
          <w:szCs w:val="32"/>
        </w:rPr>
        <w:t>将</w:t>
      </w:r>
      <w:r>
        <w:rPr>
          <w:rFonts w:hint="eastAsia" w:eastAsia="仿宋"/>
          <w:sz w:val="32"/>
          <w:szCs w:val="32"/>
          <w:lang w:val="en-US" w:eastAsia="zh-CN"/>
        </w:rPr>
        <w:t>衔接</w:t>
      </w:r>
      <w:r>
        <w:rPr>
          <w:rFonts w:eastAsia="仿宋"/>
          <w:sz w:val="32"/>
          <w:szCs w:val="32"/>
        </w:rPr>
        <w:t>资金提前下达到各行业主管部门</w:t>
      </w:r>
      <w:r>
        <w:rPr>
          <w:rFonts w:hint="eastAsia" w:eastAsia="仿宋"/>
          <w:sz w:val="32"/>
          <w:szCs w:val="32"/>
          <w:lang w:eastAsia="zh-CN"/>
        </w:rPr>
        <w:t>、</w:t>
      </w:r>
      <w:r>
        <w:rPr>
          <w:rFonts w:eastAsia="仿宋"/>
          <w:sz w:val="32"/>
          <w:szCs w:val="32"/>
        </w:rPr>
        <w:t>乡镇（街），</w:t>
      </w:r>
      <w:r>
        <w:rPr>
          <w:rFonts w:hint="eastAsia" w:eastAsia="仿宋"/>
          <w:sz w:val="32"/>
          <w:szCs w:val="32"/>
          <w:lang w:val="en-US" w:eastAsia="zh-CN"/>
        </w:rPr>
        <w:t>各</w:t>
      </w:r>
      <w:r>
        <w:rPr>
          <w:rFonts w:eastAsia="仿宋"/>
          <w:sz w:val="32"/>
          <w:szCs w:val="32"/>
        </w:rPr>
        <w:t>行业主管部门</w:t>
      </w:r>
      <w:r>
        <w:rPr>
          <w:rFonts w:hint="eastAsia" w:eastAsia="仿宋"/>
          <w:sz w:val="32"/>
          <w:szCs w:val="32"/>
          <w:lang w:val="en-US" w:eastAsia="zh-CN"/>
        </w:rPr>
        <w:t>、</w:t>
      </w:r>
      <w:r>
        <w:rPr>
          <w:rFonts w:eastAsia="仿宋"/>
          <w:sz w:val="32"/>
          <w:szCs w:val="32"/>
        </w:rPr>
        <w:t>乡镇（街）要根据项目</w:t>
      </w:r>
      <w:r>
        <w:rPr>
          <w:rFonts w:hint="eastAsia" w:eastAsia="仿宋"/>
          <w:sz w:val="32"/>
          <w:szCs w:val="32"/>
          <w:lang w:val="en-US" w:eastAsia="zh-CN"/>
        </w:rPr>
        <w:t>实施</w:t>
      </w:r>
      <w:r>
        <w:rPr>
          <w:rFonts w:eastAsia="仿宋"/>
          <w:sz w:val="32"/>
          <w:szCs w:val="32"/>
        </w:rPr>
        <w:t>进度，按照本《</w:t>
      </w:r>
      <w:r>
        <w:rPr>
          <w:rFonts w:hint="eastAsia" w:eastAsia="仿宋"/>
          <w:sz w:val="32"/>
          <w:szCs w:val="32"/>
          <w:lang w:eastAsia="zh-CN"/>
        </w:rPr>
        <w:t>实施</w:t>
      </w:r>
      <w:r>
        <w:rPr>
          <w:rFonts w:eastAsia="仿宋"/>
          <w:sz w:val="32"/>
          <w:szCs w:val="32"/>
        </w:rPr>
        <w:t>细则》的内容要求进行资金拨付</w:t>
      </w:r>
      <w:r>
        <w:rPr>
          <w:rFonts w:hint="eastAsia" w:eastAsia="仿宋"/>
          <w:sz w:val="32"/>
          <w:szCs w:val="32"/>
          <w:lang w:val="en-US" w:eastAsia="zh-CN"/>
        </w:rPr>
        <w:t>工作</w:t>
      </w:r>
      <w:r>
        <w:rPr>
          <w:rFonts w:eastAsia="仿宋"/>
          <w:sz w:val="32"/>
          <w:szCs w:val="32"/>
        </w:rPr>
        <w:t>。</w:t>
      </w:r>
    </w:p>
    <w:p>
      <w:pPr>
        <w:numPr>
          <w:ilvl w:val="0"/>
          <w:numId w:val="2"/>
        </w:numPr>
        <w:snapToGrid w:val="0"/>
        <w:spacing w:line="576" w:lineRule="exact"/>
        <w:jc w:val="center"/>
        <w:rPr>
          <w:rFonts w:ascii="黑体" w:hAnsi="黑体" w:eastAsia="黑体"/>
          <w:sz w:val="32"/>
          <w:szCs w:val="32"/>
        </w:rPr>
      </w:pPr>
      <w:r>
        <w:rPr>
          <w:rFonts w:ascii="黑体" w:hAnsi="黑体" w:eastAsia="黑体"/>
          <w:sz w:val="32"/>
          <w:szCs w:val="32"/>
        </w:rPr>
        <w:t>资金使用管理与监督评价</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left="-10" w:leftChars="0" w:firstLine="640" w:firstLineChars="0"/>
        <w:textAlignment w:val="auto"/>
        <w:rPr>
          <w:rFonts w:eastAsia="仿宋"/>
          <w:sz w:val="32"/>
          <w:szCs w:val="32"/>
        </w:rPr>
      </w:pPr>
      <w:r>
        <w:rPr>
          <w:rFonts w:hint="eastAsia" w:eastAsia="仿宋"/>
          <w:sz w:val="32"/>
          <w:szCs w:val="32"/>
          <w:lang w:val="en-US" w:eastAsia="zh-CN"/>
        </w:rPr>
        <w:t>各</w:t>
      </w:r>
      <w:r>
        <w:rPr>
          <w:rFonts w:eastAsia="仿宋"/>
          <w:sz w:val="32"/>
          <w:szCs w:val="32"/>
        </w:rPr>
        <w:t>行业主管部门</w:t>
      </w:r>
      <w:r>
        <w:rPr>
          <w:rFonts w:hint="eastAsia" w:eastAsia="仿宋"/>
          <w:sz w:val="32"/>
          <w:szCs w:val="32"/>
          <w:lang w:eastAsia="zh-CN"/>
        </w:rPr>
        <w:t>、</w:t>
      </w:r>
      <w:r>
        <w:rPr>
          <w:rFonts w:eastAsia="仿宋"/>
          <w:sz w:val="32"/>
          <w:szCs w:val="32"/>
        </w:rPr>
        <w:t>各乡镇（街）衔接资金</w:t>
      </w:r>
      <w:r>
        <w:rPr>
          <w:rFonts w:hint="eastAsia" w:eastAsia="仿宋"/>
          <w:sz w:val="32"/>
          <w:szCs w:val="32"/>
          <w:lang w:val="en-US" w:eastAsia="zh-CN"/>
        </w:rPr>
        <w:t>使用管理方法</w:t>
      </w:r>
      <w:r>
        <w:rPr>
          <w:rFonts w:eastAsia="仿宋"/>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eastAsia="仿宋"/>
          <w:sz w:val="32"/>
          <w:szCs w:val="32"/>
        </w:rPr>
      </w:pPr>
      <w:r>
        <w:rPr>
          <w:rFonts w:eastAsia="仿宋"/>
          <w:sz w:val="32"/>
          <w:szCs w:val="32"/>
        </w:rPr>
        <w:t>1</w:t>
      </w:r>
      <w:r>
        <w:rPr>
          <w:rFonts w:hint="eastAsia" w:eastAsia="仿宋"/>
          <w:sz w:val="32"/>
          <w:szCs w:val="32"/>
        </w:rPr>
        <w:t>.</w:t>
      </w:r>
      <w:r>
        <w:rPr>
          <w:rFonts w:eastAsia="仿宋"/>
          <w:sz w:val="32"/>
          <w:szCs w:val="32"/>
        </w:rPr>
        <w:t>补贴补助类项目，由乡村振兴局负责审核统计，将</w:t>
      </w:r>
      <w:r>
        <w:rPr>
          <w:rFonts w:hint="eastAsia" w:eastAsia="仿宋"/>
          <w:sz w:val="32"/>
          <w:szCs w:val="32"/>
          <w:lang w:val="en-US" w:eastAsia="zh-CN"/>
        </w:rPr>
        <w:t>相关资料、具体补助金额和</w:t>
      </w:r>
      <w:r>
        <w:rPr>
          <w:rFonts w:hint="eastAsia" w:ascii="Times New Roman" w:hAnsi="Times New Roman" w:eastAsia="仿宋" w:cs="Times New Roman"/>
          <w:sz w:val="32"/>
          <w:szCs w:val="32"/>
          <w:lang w:val="en-US" w:eastAsia="zh-CN"/>
        </w:rPr>
        <w:t>《临江市财政专项资金拨付审批单》</w:t>
      </w:r>
      <w:r>
        <w:rPr>
          <w:rFonts w:eastAsia="仿宋"/>
          <w:sz w:val="32"/>
          <w:szCs w:val="32"/>
        </w:rPr>
        <w:t>报送财政局，财政局根据实际情况，将补贴补助资金直接</w:t>
      </w:r>
      <w:r>
        <w:rPr>
          <w:rFonts w:hint="eastAsia" w:eastAsia="仿宋"/>
          <w:sz w:val="32"/>
          <w:szCs w:val="32"/>
          <w:lang w:val="en-US" w:eastAsia="zh-CN"/>
        </w:rPr>
        <w:t>发放</w:t>
      </w:r>
      <w:r>
        <w:rPr>
          <w:rFonts w:eastAsia="仿宋"/>
          <w:sz w:val="32"/>
          <w:szCs w:val="32"/>
        </w:rPr>
        <w:t>到</w:t>
      </w:r>
      <w:r>
        <w:rPr>
          <w:rFonts w:hint="eastAsia" w:eastAsia="仿宋"/>
          <w:sz w:val="32"/>
          <w:szCs w:val="32"/>
          <w:lang w:val="en-US" w:eastAsia="zh-CN"/>
        </w:rPr>
        <w:t>被补贴、补助人员的</w:t>
      </w:r>
      <w:r>
        <w:rPr>
          <w:rFonts w:hint="eastAsia" w:eastAsia="仿宋"/>
          <w:sz w:val="32"/>
          <w:szCs w:val="32"/>
          <w:lang w:eastAsia="zh-CN"/>
        </w:rPr>
        <w:t>银行</w:t>
      </w:r>
      <w:r>
        <w:rPr>
          <w:rFonts w:eastAsia="仿宋"/>
          <w:sz w:val="32"/>
          <w:szCs w:val="32"/>
        </w:rPr>
        <w:t>卡中，或者将资金拨付到乡镇</w:t>
      </w:r>
      <w:r>
        <w:rPr>
          <w:rFonts w:hint="eastAsia" w:eastAsia="仿宋"/>
          <w:sz w:val="32"/>
          <w:szCs w:val="32"/>
          <w:lang w:eastAsia="zh-CN"/>
        </w:rPr>
        <w:t>（街）、</w:t>
      </w:r>
      <w:r>
        <w:rPr>
          <w:rFonts w:hint="eastAsia" w:eastAsia="仿宋"/>
          <w:sz w:val="32"/>
          <w:szCs w:val="32"/>
          <w:lang w:val="en-US" w:eastAsia="zh-CN"/>
        </w:rPr>
        <w:t>行业主管部门</w:t>
      </w:r>
      <w:r>
        <w:rPr>
          <w:rFonts w:eastAsia="仿宋"/>
          <w:sz w:val="32"/>
          <w:szCs w:val="32"/>
        </w:rPr>
        <w:t>，由乡镇</w:t>
      </w:r>
      <w:r>
        <w:rPr>
          <w:rFonts w:hint="eastAsia" w:eastAsia="仿宋"/>
          <w:sz w:val="32"/>
          <w:szCs w:val="32"/>
          <w:lang w:eastAsia="zh-CN"/>
        </w:rPr>
        <w:t>（</w:t>
      </w:r>
      <w:r>
        <w:rPr>
          <w:rFonts w:hint="eastAsia" w:eastAsia="仿宋"/>
          <w:sz w:val="32"/>
          <w:szCs w:val="32"/>
          <w:lang w:val="en-US" w:eastAsia="zh-CN"/>
        </w:rPr>
        <w:t>街</w:t>
      </w:r>
      <w:r>
        <w:rPr>
          <w:rFonts w:hint="eastAsia" w:eastAsia="仿宋"/>
          <w:sz w:val="32"/>
          <w:szCs w:val="32"/>
          <w:lang w:eastAsia="zh-CN"/>
        </w:rPr>
        <w:t>）、行业</w:t>
      </w:r>
      <w:r>
        <w:rPr>
          <w:rFonts w:hint="eastAsia" w:eastAsia="仿宋"/>
          <w:sz w:val="32"/>
          <w:szCs w:val="32"/>
          <w:lang w:val="en-US" w:eastAsia="zh-CN"/>
        </w:rPr>
        <w:t>主管部门</w:t>
      </w:r>
      <w:r>
        <w:rPr>
          <w:rFonts w:eastAsia="仿宋"/>
          <w:sz w:val="32"/>
          <w:szCs w:val="32"/>
        </w:rPr>
        <w:t>进行发放</w:t>
      </w:r>
      <w:r>
        <w:rPr>
          <w:rFonts w:hint="eastAsia" w:eastAsia="仿宋"/>
          <w:sz w:val="32"/>
          <w:szCs w:val="32"/>
          <w:lang w:eastAsia="zh-CN"/>
        </w:rPr>
        <w:t>。</w:t>
      </w:r>
    </w:p>
    <w:p>
      <w:pPr>
        <w:snapToGrid w:val="0"/>
        <w:spacing w:line="576" w:lineRule="exact"/>
        <w:ind w:firstLine="640" w:firstLineChars="200"/>
        <w:rPr>
          <w:rFonts w:eastAsia="仿宋"/>
          <w:sz w:val="32"/>
          <w:szCs w:val="32"/>
        </w:rPr>
      </w:pPr>
      <w:r>
        <w:rPr>
          <w:rFonts w:eastAsia="仿宋"/>
          <w:sz w:val="32"/>
          <w:szCs w:val="32"/>
        </w:rPr>
        <w:t>2</w:t>
      </w:r>
      <w:r>
        <w:rPr>
          <w:rFonts w:hint="eastAsia" w:eastAsia="仿宋"/>
          <w:sz w:val="32"/>
          <w:szCs w:val="32"/>
        </w:rPr>
        <w:t>.</w:t>
      </w:r>
      <w:r>
        <w:rPr>
          <w:rFonts w:hint="eastAsia" w:ascii="Times New Roman" w:hAnsi="Times New Roman" w:eastAsia="仿宋" w:cs="Times New Roman"/>
          <w:sz w:val="32"/>
          <w:szCs w:val="32"/>
          <w:lang w:val="en-US" w:eastAsia="zh-CN"/>
        </w:rPr>
        <w:t>生产发展类项目，在项目所在单位或项目实施单位提供了《临江市财政专项资金拨付审批单》和双方签订的“合同”等相关资料后，预拨付30%的启动资金；在“资产抵押合同”和“资产评估报告”等相关资料齐全符合拨付条件的，可以将剩余资金拨付</w:t>
      </w:r>
      <w:r>
        <w:rPr>
          <w:rFonts w:eastAsia="仿宋"/>
          <w:sz w:val="32"/>
          <w:szCs w:val="32"/>
        </w:rPr>
        <w:t>。</w:t>
      </w:r>
    </w:p>
    <w:p>
      <w:pPr>
        <w:snapToGrid w:val="0"/>
        <w:spacing w:line="576" w:lineRule="exact"/>
        <w:ind w:firstLine="640" w:firstLineChars="200"/>
        <w:rPr>
          <w:rFonts w:eastAsia="仿宋"/>
          <w:sz w:val="32"/>
          <w:szCs w:val="32"/>
        </w:rPr>
      </w:pPr>
      <w:r>
        <w:rPr>
          <w:rFonts w:eastAsia="仿宋"/>
          <w:sz w:val="32"/>
          <w:szCs w:val="32"/>
        </w:rPr>
        <w:t>3</w:t>
      </w:r>
      <w:r>
        <w:rPr>
          <w:rFonts w:hint="eastAsia" w:eastAsia="仿宋"/>
          <w:sz w:val="32"/>
          <w:szCs w:val="32"/>
        </w:rPr>
        <w:t>.</w:t>
      </w:r>
      <w:r>
        <w:rPr>
          <w:rFonts w:hint="eastAsia" w:eastAsia="仿宋"/>
          <w:sz w:val="32"/>
          <w:szCs w:val="32"/>
          <w:lang w:val="en-US" w:eastAsia="zh-CN"/>
        </w:rPr>
        <w:t>小型公益和</w:t>
      </w:r>
      <w:r>
        <w:rPr>
          <w:rFonts w:hint="eastAsia" w:ascii="Times New Roman" w:hAnsi="Times New Roman" w:eastAsia="仿宋" w:cs="Times New Roman"/>
          <w:sz w:val="32"/>
          <w:szCs w:val="32"/>
          <w:lang w:val="en-US" w:eastAsia="zh-CN"/>
        </w:rPr>
        <w:t>基础建设类项目，要在项目所在单位或项目实施单位提供了《临江市财政专项资金拨付审批单》和双方签订的“合同”后，预拨付30%的启动资金。在项目建设过程中按照施工进度拨款，但必须由监理单位审核确认后方可拨付，进度款拨付额不得超过施工进度的80%。在项目建设总体完工并提交施工监理出具的“施工完工证明”后，可以拨付项目总金额的85%。在项目完成评审并出具“评审报告”后，可以拨付项目评审总金额的97%，剩余的3%为质量保证金，在项目完工一年后没有质量问题的前提下进行拨付。</w:t>
      </w:r>
    </w:p>
    <w:p>
      <w:pPr>
        <w:snapToGrid w:val="0"/>
        <w:spacing w:line="576" w:lineRule="exact"/>
        <w:ind w:firstLine="630" w:firstLineChars="197"/>
        <w:rPr>
          <w:rFonts w:eastAsia="仿宋"/>
          <w:sz w:val="32"/>
          <w:szCs w:val="32"/>
        </w:rPr>
      </w:pPr>
      <w:r>
        <w:rPr>
          <w:rFonts w:eastAsia="仿宋"/>
          <w:b w:val="0"/>
          <w:bCs/>
          <w:sz w:val="32"/>
          <w:szCs w:val="32"/>
        </w:rPr>
        <w:t>第十二条</w:t>
      </w:r>
      <w:r>
        <w:rPr>
          <w:rFonts w:eastAsia="仿宋"/>
          <w:b/>
          <w:sz w:val="32"/>
          <w:szCs w:val="32"/>
        </w:rPr>
        <w:t xml:space="preserve"> </w:t>
      </w:r>
      <w:r>
        <w:rPr>
          <w:rFonts w:eastAsia="仿宋"/>
          <w:sz w:val="32"/>
          <w:szCs w:val="32"/>
        </w:rPr>
        <w:t>财政部门负责预算安排和资金下达，指导各相关部门资金</w:t>
      </w:r>
      <w:r>
        <w:rPr>
          <w:rFonts w:hint="eastAsia" w:eastAsia="仿宋"/>
          <w:sz w:val="32"/>
          <w:szCs w:val="32"/>
          <w:lang w:val="en-US" w:eastAsia="zh-CN"/>
        </w:rPr>
        <w:t>管理</w:t>
      </w:r>
      <w:r>
        <w:rPr>
          <w:rFonts w:eastAsia="仿宋"/>
          <w:sz w:val="32"/>
          <w:szCs w:val="32"/>
        </w:rPr>
        <w:t>和绩效管理</w:t>
      </w:r>
      <w:r>
        <w:rPr>
          <w:rFonts w:hint="eastAsia" w:eastAsia="仿宋"/>
          <w:sz w:val="32"/>
          <w:szCs w:val="32"/>
          <w:lang w:val="en-US" w:eastAsia="zh-CN"/>
        </w:rPr>
        <w:t>工作</w:t>
      </w:r>
      <w:r>
        <w:rPr>
          <w:rFonts w:eastAsia="仿宋"/>
          <w:sz w:val="32"/>
          <w:szCs w:val="32"/>
        </w:rPr>
        <w:t>。</w:t>
      </w:r>
    </w:p>
    <w:p>
      <w:pPr>
        <w:snapToGrid w:val="0"/>
        <w:spacing w:line="576" w:lineRule="exact"/>
        <w:ind w:firstLine="630" w:firstLineChars="197"/>
        <w:rPr>
          <w:rFonts w:eastAsia="仿宋"/>
          <w:sz w:val="32"/>
          <w:szCs w:val="32"/>
        </w:rPr>
      </w:pPr>
      <w:r>
        <w:rPr>
          <w:rFonts w:eastAsia="仿宋"/>
          <w:sz w:val="32"/>
          <w:szCs w:val="32"/>
        </w:rPr>
        <w:t>行业主管</w:t>
      </w:r>
      <w:r>
        <w:rPr>
          <w:rFonts w:hint="eastAsia" w:eastAsia="仿宋"/>
          <w:sz w:val="32"/>
          <w:szCs w:val="32"/>
          <w:lang w:eastAsia="zh-CN"/>
        </w:rPr>
        <w:t>、</w:t>
      </w:r>
      <w:r>
        <w:rPr>
          <w:rFonts w:hint="eastAsia" w:eastAsia="仿宋"/>
          <w:sz w:val="32"/>
          <w:szCs w:val="32"/>
          <w:lang w:val="en-US" w:eastAsia="zh-CN"/>
        </w:rPr>
        <w:t>乡镇（街）等部门</w:t>
      </w:r>
      <w:r>
        <w:rPr>
          <w:rFonts w:eastAsia="仿宋"/>
          <w:sz w:val="32"/>
          <w:szCs w:val="32"/>
        </w:rPr>
        <w:t>负责提出资金分配方案</w:t>
      </w:r>
      <w:r>
        <w:rPr>
          <w:rFonts w:hint="eastAsia" w:eastAsia="仿宋"/>
          <w:sz w:val="32"/>
          <w:szCs w:val="32"/>
          <w:lang w:val="en-US" w:eastAsia="zh-CN"/>
        </w:rPr>
        <w:t>和项目、</w:t>
      </w:r>
      <w:r>
        <w:rPr>
          <w:rFonts w:eastAsia="仿宋"/>
          <w:sz w:val="32"/>
          <w:szCs w:val="32"/>
        </w:rPr>
        <w:t>资金的使用管理、绩效管理、监督管理等工作，按照权责对等原则落实监管责任。</w:t>
      </w:r>
    </w:p>
    <w:p>
      <w:pPr>
        <w:snapToGrid w:val="0"/>
        <w:spacing w:line="576" w:lineRule="exact"/>
        <w:ind w:firstLine="630" w:firstLineChars="197"/>
        <w:rPr>
          <w:rFonts w:eastAsia="仿宋"/>
          <w:sz w:val="32"/>
          <w:szCs w:val="32"/>
        </w:rPr>
      </w:pPr>
      <w:r>
        <w:rPr>
          <w:rFonts w:eastAsia="仿宋"/>
          <w:b w:val="0"/>
          <w:bCs w:val="0"/>
          <w:sz w:val="32"/>
          <w:szCs w:val="32"/>
        </w:rPr>
        <w:t>第十三条</w:t>
      </w:r>
      <w:r>
        <w:rPr>
          <w:rFonts w:eastAsia="仿宋"/>
          <w:b/>
          <w:bCs/>
          <w:sz w:val="32"/>
          <w:szCs w:val="32"/>
        </w:rPr>
        <w:t xml:space="preserve"> </w:t>
      </w:r>
      <w:r>
        <w:rPr>
          <w:rFonts w:eastAsia="仿宋"/>
          <w:sz w:val="32"/>
          <w:szCs w:val="32"/>
        </w:rPr>
        <w:t>各行业主管部门要及时提出资金分配方案，为财政部门及时下达资金创造条件。各行业主管部门</w:t>
      </w:r>
      <w:r>
        <w:rPr>
          <w:rFonts w:hint="eastAsia" w:eastAsia="仿宋"/>
          <w:sz w:val="32"/>
          <w:szCs w:val="32"/>
          <w:lang w:eastAsia="zh-CN"/>
        </w:rPr>
        <w:t>、</w:t>
      </w:r>
      <w:r>
        <w:rPr>
          <w:rFonts w:hint="eastAsia" w:eastAsia="仿宋"/>
          <w:sz w:val="32"/>
          <w:szCs w:val="32"/>
          <w:lang w:val="en-US" w:eastAsia="zh-CN"/>
        </w:rPr>
        <w:t>乡镇（街）</w:t>
      </w:r>
      <w:r>
        <w:rPr>
          <w:rFonts w:eastAsia="仿宋"/>
          <w:sz w:val="32"/>
          <w:szCs w:val="32"/>
        </w:rPr>
        <w:t>要在保证工程质量的前提下，督促项目建设单位加快项目建设进度。衔接资金按项目进度拨款，各</w:t>
      </w:r>
      <w:r>
        <w:rPr>
          <w:rFonts w:hint="eastAsia" w:eastAsia="仿宋"/>
          <w:sz w:val="32"/>
          <w:szCs w:val="32"/>
          <w:lang w:val="en-US" w:eastAsia="zh-CN"/>
        </w:rPr>
        <w:t>相关</w:t>
      </w:r>
      <w:r>
        <w:rPr>
          <w:rFonts w:eastAsia="仿宋"/>
          <w:sz w:val="32"/>
          <w:szCs w:val="32"/>
        </w:rPr>
        <w:t>部门要在保证资金安全的前提下，加快资金实际支出进度，坚决不允许</w:t>
      </w:r>
      <w:r>
        <w:rPr>
          <w:rFonts w:hint="eastAsia" w:eastAsia="仿宋"/>
          <w:sz w:val="32"/>
          <w:szCs w:val="32"/>
          <w:lang w:eastAsia="zh-CN"/>
        </w:rPr>
        <w:t>“</w:t>
      </w:r>
      <w:r>
        <w:rPr>
          <w:rFonts w:eastAsia="仿宋"/>
          <w:sz w:val="32"/>
          <w:szCs w:val="32"/>
        </w:rPr>
        <w:t>超进度拨款</w:t>
      </w:r>
      <w:r>
        <w:rPr>
          <w:rFonts w:hint="eastAsia" w:eastAsia="仿宋"/>
          <w:sz w:val="32"/>
          <w:szCs w:val="32"/>
          <w:lang w:eastAsia="zh-CN"/>
        </w:rPr>
        <w:t>”</w:t>
      </w:r>
      <w:r>
        <w:rPr>
          <w:rFonts w:eastAsia="仿宋"/>
          <w:sz w:val="32"/>
          <w:szCs w:val="32"/>
        </w:rPr>
        <w:t>。</w:t>
      </w:r>
    </w:p>
    <w:p>
      <w:pPr>
        <w:snapToGrid w:val="0"/>
        <w:spacing w:line="576" w:lineRule="exact"/>
        <w:ind w:firstLine="640" w:firstLineChars="200"/>
        <w:rPr>
          <w:rFonts w:eastAsia="仿宋"/>
          <w:sz w:val="32"/>
          <w:szCs w:val="32"/>
        </w:rPr>
      </w:pPr>
      <w:r>
        <w:rPr>
          <w:rFonts w:eastAsia="仿宋"/>
          <w:b w:val="0"/>
          <w:bCs w:val="0"/>
          <w:sz w:val="32"/>
          <w:szCs w:val="32"/>
        </w:rPr>
        <w:t xml:space="preserve">第十四条 </w:t>
      </w:r>
      <w:r>
        <w:rPr>
          <w:rFonts w:eastAsia="仿宋"/>
          <w:sz w:val="32"/>
          <w:szCs w:val="32"/>
        </w:rPr>
        <w:t>全面推行公开公示制度，资金政策文件、管理制度、资金分配结果等信息要及时向社会公开，自觉接受社会各界和广大群众的监督。</w:t>
      </w:r>
    </w:p>
    <w:p>
      <w:pPr>
        <w:snapToGrid w:val="0"/>
        <w:spacing w:line="576" w:lineRule="exact"/>
        <w:ind w:firstLine="595" w:firstLineChars="186"/>
        <w:rPr>
          <w:rFonts w:eastAsia="仿宋"/>
          <w:sz w:val="32"/>
          <w:szCs w:val="32"/>
        </w:rPr>
      </w:pPr>
      <w:r>
        <w:rPr>
          <w:rFonts w:eastAsia="仿宋"/>
          <w:b w:val="0"/>
          <w:bCs w:val="0"/>
          <w:sz w:val="32"/>
          <w:szCs w:val="32"/>
        </w:rPr>
        <w:t>第十五条</w:t>
      </w:r>
      <w:r>
        <w:rPr>
          <w:rFonts w:eastAsia="仿宋"/>
          <w:sz w:val="32"/>
          <w:szCs w:val="32"/>
        </w:rPr>
        <w:t xml:space="preserve"> 全面落实衔接项目资金绩效管理要求，按照资金</w:t>
      </w:r>
      <w:r>
        <w:rPr>
          <w:rFonts w:hint="eastAsia" w:eastAsia="仿宋"/>
          <w:sz w:val="32"/>
          <w:szCs w:val="32"/>
          <w:lang w:eastAsia="zh-CN"/>
        </w:rPr>
        <w:t>“</w:t>
      </w:r>
      <w:r>
        <w:rPr>
          <w:rFonts w:eastAsia="仿宋"/>
          <w:sz w:val="32"/>
          <w:szCs w:val="32"/>
        </w:rPr>
        <w:t>谁使用、谁负责</w:t>
      </w:r>
      <w:r>
        <w:rPr>
          <w:rFonts w:hint="eastAsia" w:eastAsia="仿宋"/>
          <w:sz w:val="32"/>
          <w:szCs w:val="32"/>
          <w:lang w:eastAsia="zh-CN"/>
        </w:rPr>
        <w:t>”</w:t>
      </w:r>
      <w:r>
        <w:rPr>
          <w:rFonts w:eastAsia="仿宋"/>
          <w:sz w:val="32"/>
          <w:szCs w:val="32"/>
        </w:rPr>
        <w:t>的要求，压实资金使用者的绩效主体责任，科学规范设定项目绩效目标，强化执行监控，加强评价结果应用。</w:t>
      </w:r>
    </w:p>
    <w:p>
      <w:pPr>
        <w:tabs>
          <w:tab w:val="left" w:pos="2160"/>
        </w:tabs>
        <w:snapToGrid w:val="0"/>
        <w:spacing w:line="576" w:lineRule="exact"/>
        <w:ind w:firstLine="640" w:firstLineChars="200"/>
        <w:rPr>
          <w:rFonts w:eastAsia="仿宋"/>
          <w:sz w:val="32"/>
          <w:szCs w:val="32"/>
        </w:rPr>
      </w:pPr>
      <w:r>
        <w:rPr>
          <w:rFonts w:eastAsia="仿宋"/>
          <w:b w:val="0"/>
          <w:bCs w:val="0"/>
          <w:sz w:val="32"/>
          <w:szCs w:val="32"/>
        </w:rPr>
        <w:t>第十六条</w:t>
      </w:r>
      <w:r>
        <w:rPr>
          <w:rFonts w:eastAsia="仿宋"/>
          <w:sz w:val="32"/>
          <w:szCs w:val="32"/>
        </w:rPr>
        <w:t xml:space="preserve"> 属于政府采购管理范围的项目，执行政府采购相关规定，村级微小型项目可按照村民民主议事方式直接委托村级组织自建自营；属于招投标管理范围的项目，执行相关法律、法规及制度规定。</w:t>
      </w:r>
    </w:p>
    <w:p>
      <w:pPr>
        <w:snapToGrid w:val="0"/>
        <w:spacing w:line="576" w:lineRule="exact"/>
        <w:ind w:firstLine="595" w:firstLineChars="186"/>
        <w:rPr>
          <w:rFonts w:eastAsia="仿宋"/>
          <w:sz w:val="32"/>
          <w:szCs w:val="32"/>
        </w:rPr>
      </w:pPr>
      <w:r>
        <w:rPr>
          <w:rFonts w:eastAsia="仿宋"/>
          <w:b w:val="0"/>
          <w:bCs w:val="0"/>
          <w:sz w:val="32"/>
          <w:szCs w:val="32"/>
        </w:rPr>
        <w:t>第十七条</w:t>
      </w:r>
      <w:r>
        <w:rPr>
          <w:rFonts w:eastAsia="仿宋"/>
          <w:b/>
          <w:bCs/>
          <w:sz w:val="32"/>
          <w:szCs w:val="32"/>
        </w:rPr>
        <w:t xml:space="preserve"> </w:t>
      </w:r>
      <w:r>
        <w:rPr>
          <w:rFonts w:eastAsia="仿宋"/>
          <w:sz w:val="32"/>
          <w:szCs w:val="32"/>
        </w:rPr>
        <w:t>衔接资金的支付管理，按照财政国库管理有关规定执行。结转结余的衔接资金，按照中央和省有关结转结余资金管理的相关规定管理。</w:t>
      </w:r>
    </w:p>
    <w:p>
      <w:pPr>
        <w:snapToGrid w:val="0"/>
        <w:spacing w:line="576" w:lineRule="exact"/>
        <w:ind w:firstLine="630" w:firstLineChars="197"/>
        <w:rPr>
          <w:rFonts w:eastAsia="仿宋"/>
          <w:sz w:val="32"/>
          <w:szCs w:val="32"/>
        </w:rPr>
      </w:pPr>
      <w:r>
        <w:rPr>
          <w:rFonts w:eastAsia="仿宋"/>
          <w:b w:val="0"/>
          <w:bCs/>
          <w:sz w:val="32"/>
          <w:szCs w:val="32"/>
        </w:rPr>
        <w:t>第十八条</w:t>
      </w:r>
      <w:r>
        <w:rPr>
          <w:rFonts w:eastAsia="仿宋"/>
          <w:b/>
          <w:sz w:val="32"/>
          <w:szCs w:val="32"/>
        </w:rPr>
        <w:t xml:space="preserve"> </w:t>
      </w:r>
      <w:r>
        <w:rPr>
          <w:rFonts w:eastAsia="仿宋"/>
          <w:sz w:val="32"/>
          <w:szCs w:val="32"/>
        </w:rPr>
        <w:t>财政和各</w:t>
      </w:r>
      <w:r>
        <w:rPr>
          <w:rFonts w:hint="eastAsia" w:eastAsia="仿宋"/>
          <w:sz w:val="32"/>
          <w:szCs w:val="32"/>
          <w:lang w:val="en-US" w:eastAsia="zh-CN"/>
        </w:rPr>
        <w:t>相关</w:t>
      </w:r>
      <w:r>
        <w:rPr>
          <w:rFonts w:eastAsia="仿宋"/>
          <w:sz w:val="32"/>
          <w:szCs w:val="32"/>
        </w:rPr>
        <w:t>部门要按要求配合审计、纪检监察、检察机关和上级财政部门做好衔接资金和项目的审计</w:t>
      </w:r>
      <w:r>
        <w:rPr>
          <w:rFonts w:hint="eastAsia" w:eastAsia="仿宋"/>
          <w:sz w:val="32"/>
          <w:szCs w:val="32"/>
          <w:lang w:eastAsia="zh-CN"/>
        </w:rPr>
        <w:t>、</w:t>
      </w:r>
      <w:r>
        <w:rPr>
          <w:rFonts w:eastAsia="仿宋"/>
          <w:sz w:val="32"/>
          <w:szCs w:val="32"/>
        </w:rPr>
        <w:t>检查等工作。</w:t>
      </w:r>
    </w:p>
    <w:p>
      <w:pPr>
        <w:adjustRightInd w:val="0"/>
        <w:snapToGrid w:val="0"/>
        <w:spacing w:line="576" w:lineRule="exact"/>
        <w:ind w:firstLine="645"/>
        <w:rPr>
          <w:rFonts w:eastAsia="仿宋"/>
          <w:sz w:val="32"/>
          <w:szCs w:val="32"/>
        </w:rPr>
      </w:pPr>
      <w:r>
        <w:rPr>
          <w:rFonts w:eastAsia="仿宋"/>
          <w:b w:val="0"/>
          <w:bCs w:val="0"/>
          <w:sz w:val="32"/>
          <w:szCs w:val="32"/>
        </w:rPr>
        <w:t>第十九条</w:t>
      </w:r>
      <w:r>
        <w:rPr>
          <w:rFonts w:eastAsia="仿宋"/>
          <w:sz w:val="32"/>
          <w:szCs w:val="32"/>
        </w:rPr>
        <w:t xml:space="preserve"> 财政和各</w:t>
      </w:r>
      <w:r>
        <w:rPr>
          <w:rFonts w:hint="eastAsia" w:eastAsia="仿宋"/>
          <w:sz w:val="32"/>
          <w:szCs w:val="32"/>
          <w:lang w:val="en-US" w:eastAsia="zh-CN"/>
        </w:rPr>
        <w:t>相关</w:t>
      </w:r>
      <w:r>
        <w:rPr>
          <w:rFonts w:eastAsia="仿宋"/>
          <w:sz w:val="32"/>
          <w:szCs w:val="32"/>
        </w:rPr>
        <w:t>部门及其工作人员在衔接资金分配、使用管理等工作中，存在滥用职权、玩忽职守、徇私舞弊等违法违纪行为的，按照《中华人民共和国预算法》、《中华人民共和国公务员法》、《中华人民共和国监察法》、《财政违法行为处罚处分条例》等有关规定追究相应责任；涉嫌犯罪的，移送有</w:t>
      </w:r>
      <w:r>
        <w:rPr>
          <w:rFonts w:hint="eastAsia" w:eastAsia="仿宋"/>
          <w:sz w:val="32"/>
          <w:szCs w:val="32"/>
          <w:lang w:val="en-US" w:eastAsia="zh-CN"/>
        </w:rPr>
        <w:t>关</w:t>
      </w:r>
      <w:r>
        <w:rPr>
          <w:rFonts w:eastAsia="仿宋"/>
          <w:sz w:val="32"/>
          <w:szCs w:val="32"/>
        </w:rPr>
        <w:t>国家机关处理。</w:t>
      </w:r>
    </w:p>
    <w:p>
      <w:pPr>
        <w:adjustRightInd w:val="0"/>
        <w:snapToGrid w:val="0"/>
        <w:spacing w:line="576" w:lineRule="exact"/>
        <w:jc w:val="center"/>
        <w:rPr>
          <w:rFonts w:ascii="黑体" w:hAnsi="黑体" w:eastAsia="黑体"/>
          <w:sz w:val="32"/>
          <w:szCs w:val="32"/>
        </w:rPr>
      </w:pPr>
      <w:r>
        <w:rPr>
          <w:rFonts w:ascii="黑体" w:hAnsi="黑体" w:eastAsia="黑体"/>
          <w:sz w:val="32"/>
          <w:szCs w:val="32"/>
        </w:rPr>
        <w:t>第五章 附则</w:t>
      </w:r>
    </w:p>
    <w:p>
      <w:pPr>
        <w:jc w:val="both"/>
        <w:rPr>
          <w:rFonts w:hint="eastAsia" w:asciiTheme="majorEastAsia" w:hAnsiTheme="majorEastAsia" w:eastAsiaTheme="majorEastAsia" w:cstheme="majorEastAsia"/>
          <w:b/>
          <w:bCs/>
          <w:sz w:val="30"/>
          <w:szCs w:val="30"/>
          <w:lang w:eastAsia="zh-CN"/>
        </w:rPr>
      </w:pPr>
      <w:r>
        <w:rPr>
          <w:rFonts w:eastAsia="仿宋"/>
          <w:b w:val="0"/>
          <w:bCs/>
          <w:sz w:val="32"/>
          <w:szCs w:val="32"/>
        </w:rPr>
        <w:t>第二十条</w:t>
      </w:r>
      <w:r>
        <w:rPr>
          <w:rFonts w:eastAsia="仿宋"/>
          <w:b/>
          <w:sz w:val="32"/>
          <w:szCs w:val="32"/>
        </w:rPr>
        <w:t xml:space="preserve"> </w:t>
      </w:r>
      <w:r>
        <w:rPr>
          <w:rFonts w:eastAsia="仿宋"/>
          <w:sz w:val="32"/>
          <w:szCs w:val="32"/>
        </w:rPr>
        <w:t>本细则自印发之日起施行，由财政局会同各行业主管部门负责解释。2017年度出台的《临江市财政专项扶贫资金管理办法》（临财农</w:t>
      </w:r>
      <w:r>
        <w:rPr>
          <w:rFonts w:hint="eastAsia" w:eastAsia="仿宋"/>
          <w:sz w:val="32"/>
          <w:szCs w:val="32"/>
        </w:rPr>
        <w:t>〔</w:t>
      </w:r>
      <w:r>
        <w:rPr>
          <w:rFonts w:eastAsia="仿宋"/>
          <w:sz w:val="32"/>
          <w:szCs w:val="32"/>
        </w:rPr>
        <w:t>2017</w:t>
      </w:r>
      <w:r>
        <w:rPr>
          <w:rFonts w:hint="eastAsia" w:eastAsia="仿宋"/>
          <w:sz w:val="32"/>
          <w:szCs w:val="32"/>
        </w:rPr>
        <w:t>〕</w:t>
      </w:r>
      <w:r>
        <w:rPr>
          <w:rFonts w:eastAsia="仿宋"/>
          <w:sz w:val="32"/>
          <w:szCs w:val="32"/>
        </w:rPr>
        <w:t>67号）同时废止。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B8105"/>
    <w:multiLevelType w:val="singleLevel"/>
    <w:tmpl w:val="1FBB8105"/>
    <w:lvl w:ilvl="0" w:tentative="0">
      <w:start w:val="7"/>
      <w:numFmt w:val="chineseCounting"/>
      <w:suff w:val="space"/>
      <w:lvlText w:val="第%1条"/>
      <w:lvlJc w:val="left"/>
      <w:rPr>
        <w:rFonts w:hint="eastAsia"/>
        <w:b w:val="0"/>
        <w:bCs w:val="0"/>
      </w:rPr>
    </w:lvl>
  </w:abstractNum>
  <w:abstractNum w:abstractNumId="1">
    <w:nsid w:val="542C03CF"/>
    <w:multiLevelType w:val="singleLevel"/>
    <w:tmpl w:val="542C03CF"/>
    <w:lvl w:ilvl="0" w:tentative="0">
      <w:start w:val="11"/>
      <w:numFmt w:val="chineseCounting"/>
      <w:suff w:val="space"/>
      <w:lvlText w:val="第%1条"/>
      <w:lvlJc w:val="left"/>
      <w:pPr>
        <w:ind w:left="-10"/>
      </w:pPr>
      <w:rPr>
        <w:rFonts w:hint="eastAsia"/>
        <w:b w:val="0"/>
        <w:bCs w:val="0"/>
      </w:rPr>
    </w:lvl>
  </w:abstractNum>
  <w:abstractNum w:abstractNumId="2">
    <w:nsid w:val="606D79E1"/>
    <w:multiLevelType w:val="singleLevel"/>
    <w:tmpl w:val="606D79E1"/>
    <w:lvl w:ilvl="0" w:tentative="0">
      <w:start w:val="1"/>
      <w:numFmt w:val="chineseCounting"/>
      <w:suff w:val="space"/>
      <w:lvlText w:val="第%1章"/>
      <w:lvlJc w:val="left"/>
    </w:lvl>
  </w:abstractNum>
  <w:abstractNum w:abstractNumId="3">
    <w:nsid w:val="606D8A8F"/>
    <w:multiLevelType w:val="singleLevel"/>
    <w:tmpl w:val="606D8A8F"/>
    <w:lvl w:ilvl="0" w:tentative="0">
      <w:start w:val="3"/>
      <w:numFmt w:val="chineseCounting"/>
      <w:suff w:val="space"/>
      <w:lvlText w:val="第%1章"/>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71597"/>
    <w:rsid w:val="4527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2021-11-03T08:19:00Z</dcterms:created>
  <dc:creator>UID6100</dc:creator>
  <cp:lastModifiedBy>UID6100</cp:lastModifiedBy>
  <dcterms:modified xsi:type="dcterms:W3CDTF">2021-11-03T08:20:00Z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