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0F9" w:rsidRDefault="003940F9" w:rsidP="003940F9">
      <w:pPr>
        <w:widowControl/>
        <w:jc w:val="center"/>
        <w:rPr>
          <w:rFonts w:ascii="Helvetica" w:eastAsia="宋体" w:hAnsi="Helvetica" w:cs="Helvetica" w:hint="eastAsia"/>
          <w:b/>
          <w:bCs/>
          <w:color w:val="323534"/>
          <w:kern w:val="0"/>
          <w:sz w:val="32"/>
        </w:rPr>
      </w:pPr>
      <w:r w:rsidRPr="003940F9">
        <w:rPr>
          <w:rFonts w:ascii="Helvetica" w:eastAsia="宋体" w:hAnsi="Helvetica" w:cs="Helvetica"/>
          <w:b/>
          <w:bCs/>
          <w:color w:val="323534"/>
          <w:kern w:val="0"/>
          <w:sz w:val="32"/>
        </w:rPr>
        <w:t>国家税务总局关于发布</w:t>
      </w:r>
    </w:p>
    <w:p w:rsidR="003940F9" w:rsidRDefault="003940F9" w:rsidP="003940F9">
      <w:pPr>
        <w:widowControl/>
        <w:jc w:val="center"/>
        <w:rPr>
          <w:rFonts w:ascii="Helvetica" w:eastAsia="宋体" w:hAnsi="Helvetica" w:cs="Helvetica" w:hint="eastAsia"/>
          <w:b/>
          <w:bCs/>
          <w:color w:val="323534"/>
          <w:kern w:val="0"/>
          <w:sz w:val="32"/>
        </w:rPr>
      </w:pPr>
      <w:r w:rsidRPr="003940F9">
        <w:rPr>
          <w:rFonts w:ascii="Helvetica" w:eastAsia="宋体" w:hAnsi="Helvetica" w:cs="Helvetica"/>
          <w:b/>
          <w:bCs/>
          <w:color w:val="323534"/>
          <w:kern w:val="0"/>
          <w:sz w:val="32"/>
        </w:rPr>
        <w:t>《第二批税务行政处罚</w:t>
      </w:r>
      <w:r w:rsidRPr="003940F9">
        <w:rPr>
          <w:rFonts w:ascii="Helvetica" w:eastAsia="宋体" w:hAnsi="Helvetica" w:cs="Helvetica"/>
          <w:b/>
          <w:bCs/>
          <w:color w:val="323534"/>
          <w:kern w:val="0"/>
          <w:sz w:val="32"/>
        </w:rPr>
        <w:t>“</w:t>
      </w:r>
      <w:r w:rsidRPr="003940F9">
        <w:rPr>
          <w:rFonts w:ascii="Helvetica" w:eastAsia="宋体" w:hAnsi="Helvetica" w:cs="Helvetica"/>
          <w:b/>
          <w:bCs/>
          <w:color w:val="323534"/>
          <w:kern w:val="0"/>
          <w:sz w:val="32"/>
        </w:rPr>
        <w:t>首违不罚</w:t>
      </w:r>
      <w:r w:rsidRPr="003940F9">
        <w:rPr>
          <w:rFonts w:ascii="Helvetica" w:eastAsia="宋体" w:hAnsi="Helvetica" w:cs="Helvetica"/>
          <w:b/>
          <w:bCs/>
          <w:color w:val="323534"/>
          <w:kern w:val="0"/>
          <w:sz w:val="32"/>
        </w:rPr>
        <w:t>”</w:t>
      </w:r>
      <w:r w:rsidRPr="003940F9">
        <w:rPr>
          <w:rFonts w:ascii="Helvetica" w:eastAsia="宋体" w:hAnsi="Helvetica" w:cs="Helvetica"/>
          <w:b/>
          <w:bCs/>
          <w:color w:val="323534"/>
          <w:kern w:val="0"/>
          <w:sz w:val="32"/>
        </w:rPr>
        <w:t>事项清单》的公告</w:t>
      </w:r>
    </w:p>
    <w:p w:rsidR="003940F9" w:rsidRPr="003940F9" w:rsidRDefault="003940F9" w:rsidP="003940F9">
      <w:pPr>
        <w:widowControl/>
        <w:jc w:val="center"/>
        <w:rPr>
          <w:rFonts w:ascii="楷体" w:eastAsia="楷体" w:hAnsi="楷体" w:cs="Helvetica"/>
          <w:color w:val="333333"/>
          <w:kern w:val="0"/>
          <w:szCs w:val="21"/>
        </w:rPr>
      </w:pPr>
      <w:r w:rsidRPr="003940F9">
        <w:rPr>
          <w:rFonts w:ascii="楷体" w:eastAsia="楷体" w:hAnsi="楷体" w:cs="Helvetica"/>
          <w:b/>
          <w:bCs/>
          <w:color w:val="323534"/>
          <w:kern w:val="0"/>
          <w:szCs w:val="21"/>
        </w:rPr>
        <w:t>国家税务总局公告2021年第33号</w:t>
      </w:r>
    </w:p>
    <w:p w:rsidR="003940F9" w:rsidRDefault="003940F9" w:rsidP="003940F9">
      <w:pPr>
        <w:widowControl/>
        <w:spacing w:line="415" w:lineRule="atLeast"/>
        <w:ind w:firstLine="480"/>
        <w:rPr>
          <w:rFonts w:ascii="微软雅黑" w:eastAsia="微软雅黑" w:hAnsi="微软雅黑" w:cs="宋体" w:hint="eastAsia"/>
          <w:color w:val="333333"/>
          <w:kern w:val="0"/>
          <w:sz w:val="18"/>
          <w:szCs w:val="18"/>
        </w:rPr>
      </w:pPr>
    </w:p>
    <w:p w:rsidR="003940F9" w:rsidRPr="003940F9" w:rsidRDefault="003940F9" w:rsidP="003940F9">
      <w:pPr>
        <w:widowControl/>
        <w:spacing w:line="415" w:lineRule="atLeast"/>
        <w:ind w:firstLine="480"/>
        <w:rPr>
          <w:rFonts w:ascii="微软雅黑" w:eastAsia="微软雅黑" w:hAnsi="微软雅黑" w:cs="宋体"/>
          <w:color w:val="333333"/>
          <w:kern w:val="0"/>
          <w:sz w:val="18"/>
          <w:szCs w:val="18"/>
        </w:rPr>
      </w:pPr>
      <w:r w:rsidRPr="003940F9">
        <w:rPr>
          <w:rFonts w:ascii="微软雅黑" w:eastAsia="微软雅黑" w:hAnsi="微软雅黑" w:cs="宋体" w:hint="eastAsia"/>
          <w:color w:val="333333"/>
          <w:kern w:val="0"/>
          <w:sz w:val="18"/>
          <w:szCs w:val="18"/>
        </w:rPr>
        <w:t>为进一步贯彻落实中共中央办公厅、国务院办公厅《关于进一步深化税收征管改革的意见》，持续推进税务领域“放管服”改革，根据《中华人民共和国行政处罚法》、《中华人民共和国税收征收管理法》及其实施细则等法律法规，国家税务总局制定《第二批税务行政处罚“首违不罚”事项清单》，现予以发布。同时，对执行中的若干问题明确如下：</w:t>
      </w:r>
    </w:p>
    <w:p w:rsidR="003940F9" w:rsidRPr="003940F9" w:rsidRDefault="003940F9" w:rsidP="003940F9">
      <w:pPr>
        <w:widowControl/>
        <w:spacing w:line="415" w:lineRule="atLeast"/>
        <w:ind w:firstLine="480"/>
        <w:rPr>
          <w:rFonts w:ascii="微软雅黑" w:eastAsia="微软雅黑" w:hAnsi="微软雅黑" w:cs="宋体" w:hint="eastAsia"/>
          <w:color w:val="333333"/>
          <w:kern w:val="0"/>
          <w:sz w:val="18"/>
          <w:szCs w:val="18"/>
        </w:rPr>
      </w:pPr>
      <w:r w:rsidRPr="003940F9">
        <w:rPr>
          <w:rFonts w:ascii="微软雅黑" w:eastAsia="微软雅黑" w:hAnsi="微软雅黑" w:cs="宋体" w:hint="eastAsia"/>
          <w:color w:val="333333"/>
          <w:kern w:val="0"/>
          <w:sz w:val="18"/>
          <w:szCs w:val="18"/>
        </w:rPr>
        <w:t>一、对当事人首次发生清单中所列事项且危害后果轻微，在税务机关发现前主动改正或者在税务机关责令限期改正的期限内改正的，不予行政处罚。</w:t>
      </w:r>
    </w:p>
    <w:p w:rsidR="003940F9" w:rsidRPr="003940F9" w:rsidRDefault="003940F9" w:rsidP="003940F9">
      <w:pPr>
        <w:widowControl/>
        <w:spacing w:line="415" w:lineRule="atLeast"/>
        <w:ind w:firstLine="480"/>
        <w:rPr>
          <w:rFonts w:ascii="微软雅黑" w:eastAsia="微软雅黑" w:hAnsi="微软雅黑" w:cs="宋体" w:hint="eastAsia"/>
          <w:color w:val="333333"/>
          <w:kern w:val="0"/>
          <w:sz w:val="18"/>
          <w:szCs w:val="18"/>
        </w:rPr>
      </w:pPr>
      <w:r w:rsidRPr="003940F9">
        <w:rPr>
          <w:rFonts w:ascii="微软雅黑" w:eastAsia="微软雅黑" w:hAnsi="微软雅黑" w:cs="宋体" w:hint="eastAsia"/>
          <w:color w:val="333333"/>
          <w:kern w:val="0"/>
          <w:sz w:val="18"/>
          <w:szCs w:val="18"/>
        </w:rPr>
        <w:t>税务违法行为造成不可挽回的税费损失或者较大社会影响的，不能认定为“危害后果轻微”。</w:t>
      </w:r>
    </w:p>
    <w:p w:rsidR="003940F9" w:rsidRPr="003940F9" w:rsidRDefault="003940F9" w:rsidP="003940F9">
      <w:pPr>
        <w:widowControl/>
        <w:spacing w:line="415" w:lineRule="atLeast"/>
        <w:ind w:firstLine="480"/>
        <w:rPr>
          <w:rFonts w:ascii="微软雅黑" w:eastAsia="微软雅黑" w:hAnsi="微软雅黑" w:cs="宋体" w:hint="eastAsia"/>
          <w:color w:val="333333"/>
          <w:kern w:val="0"/>
          <w:sz w:val="18"/>
          <w:szCs w:val="18"/>
        </w:rPr>
      </w:pPr>
      <w:r w:rsidRPr="003940F9">
        <w:rPr>
          <w:rFonts w:ascii="微软雅黑" w:eastAsia="微软雅黑" w:hAnsi="微软雅黑" w:cs="宋体" w:hint="eastAsia"/>
          <w:color w:val="333333"/>
          <w:kern w:val="0"/>
          <w:sz w:val="18"/>
          <w:szCs w:val="18"/>
        </w:rPr>
        <w:t>二、适用税务行政处罚“首违不罚”的，主管税务机关应及时作出不予行政处罚决定，充分保障当事人合法权益。</w:t>
      </w:r>
    </w:p>
    <w:p w:rsidR="003940F9" w:rsidRPr="003940F9" w:rsidRDefault="003940F9" w:rsidP="003940F9">
      <w:pPr>
        <w:widowControl/>
        <w:spacing w:line="415" w:lineRule="atLeast"/>
        <w:ind w:firstLine="480"/>
        <w:rPr>
          <w:rFonts w:ascii="微软雅黑" w:eastAsia="微软雅黑" w:hAnsi="微软雅黑" w:cs="宋体" w:hint="eastAsia"/>
          <w:color w:val="333333"/>
          <w:kern w:val="0"/>
          <w:sz w:val="18"/>
          <w:szCs w:val="18"/>
        </w:rPr>
      </w:pPr>
      <w:r w:rsidRPr="003940F9">
        <w:rPr>
          <w:rFonts w:ascii="微软雅黑" w:eastAsia="微软雅黑" w:hAnsi="微软雅黑" w:cs="宋体" w:hint="eastAsia"/>
          <w:color w:val="333333"/>
          <w:kern w:val="0"/>
          <w:sz w:val="18"/>
          <w:szCs w:val="18"/>
        </w:rPr>
        <w:t>三、各级税务机关应加强税务行政处罚“首违不罚”管理，准确把握适用“首违不罚”的条件，不得变相扩大或者缩小“首违不罚”范围，既彰显税收执法温度，又不放松税收管理。</w:t>
      </w:r>
    </w:p>
    <w:p w:rsidR="003940F9" w:rsidRPr="003940F9" w:rsidRDefault="003940F9" w:rsidP="003940F9">
      <w:pPr>
        <w:widowControl/>
        <w:spacing w:line="415" w:lineRule="atLeast"/>
        <w:ind w:firstLine="480"/>
        <w:rPr>
          <w:rFonts w:ascii="微软雅黑" w:eastAsia="微软雅黑" w:hAnsi="微软雅黑" w:cs="宋体" w:hint="eastAsia"/>
          <w:color w:val="333333"/>
          <w:kern w:val="0"/>
          <w:sz w:val="18"/>
          <w:szCs w:val="18"/>
        </w:rPr>
      </w:pPr>
      <w:r w:rsidRPr="003940F9">
        <w:rPr>
          <w:rFonts w:ascii="微软雅黑" w:eastAsia="微软雅黑" w:hAnsi="微软雅黑" w:cs="宋体" w:hint="eastAsia"/>
          <w:color w:val="333333"/>
          <w:kern w:val="0"/>
          <w:sz w:val="18"/>
          <w:szCs w:val="18"/>
        </w:rPr>
        <w:t>四、对适用税务行政处罚“首违不罚”的当事人，主管税务机关应采取签订承诺书等方式教育、引导、督促其自觉守法，对再次违反的当事人应严格按照规定予以行政处罚。</w:t>
      </w:r>
    </w:p>
    <w:p w:rsidR="003940F9" w:rsidRPr="003940F9" w:rsidRDefault="003940F9" w:rsidP="003940F9">
      <w:pPr>
        <w:widowControl/>
        <w:spacing w:line="415" w:lineRule="atLeast"/>
        <w:ind w:firstLine="480"/>
        <w:rPr>
          <w:rFonts w:ascii="微软雅黑" w:eastAsia="微软雅黑" w:hAnsi="微软雅黑" w:cs="宋体" w:hint="eastAsia"/>
          <w:color w:val="333333"/>
          <w:kern w:val="0"/>
          <w:sz w:val="18"/>
          <w:szCs w:val="18"/>
        </w:rPr>
      </w:pPr>
      <w:r w:rsidRPr="003940F9">
        <w:rPr>
          <w:rFonts w:ascii="微软雅黑" w:eastAsia="微软雅黑" w:hAnsi="微软雅黑" w:cs="宋体" w:hint="eastAsia"/>
          <w:color w:val="333333"/>
          <w:kern w:val="0"/>
          <w:sz w:val="18"/>
          <w:szCs w:val="18"/>
        </w:rPr>
        <w:t>五、税务机关应明确和完善税务行政处罚“首违不罚”相关岗责流程，构建权责一致、边界清晰、协调配合、运转高效的职能体系。</w:t>
      </w:r>
    </w:p>
    <w:p w:rsidR="003940F9" w:rsidRPr="003940F9" w:rsidRDefault="003940F9" w:rsidP="003940F9">
      <w:pPr>
        <w:widowControl/>
        <w:spacing w:line="415" w:lineRule="atLeast"/>
        <w:ind w:firstLine="480"/>
        <w:rPr>
          <w:rFonts w:ascii="微软雅黑" w:eastAsia="微软雅黑" w:hAnsi="微软雅黑" w:cs="宋体" w:hint="eastAsia"/>
          <w:color w:val="333333"/>
          <w:kern w:val="0"/>
          <w:sz w:val="18"/>
          <w:szCs w:val="18"/>
        </w:rPr>
      </w:pPr>
      <w:r w:rsidRPr="003940F9">
        <w:rPr>
          <w:rFonts w:ascii="微软雅黑" w:eastAsia="微软雅黑" w:hAnsi="微软雅黑" w:cs="宋体" w:hint="eastAsia"/>
          <w:color w:val="333333"/>
          <w:kern w:val="0"/>
          <w:sz w:val="18"/>
          <w:szCs w:val="18"/>
        </w:rPr>
        <w:t>六、税务机关应将税务行政处罚“首违不罚”风险防范措施嵌入信息系统，依托信息系统开展“首违不罚”预警提醒、违法阻止和分析评估，定期对“首违不罚”施行情况进行总结，取得“事前放、事中管、事后评”效果。</w:t>
      </w:r>
    </w:p>
    <w:p w:rsidR="003940F9" w:rsidRPr="003940F9" w:rsidRDefault="003940F9" w:rsidP="003940F9">
      <w:pPr>
        <w:widowControl/>
        <w:spacing w:line="415" w:lineRule="atLeast"/>
        <w:ind w:firstLine="480"/>
        <w:rPr>
          <w:rFonts w:ascii="微软雅黑" w:eastAsia="微软雅黑" w:hAnsi="微软雅黑" w:cs="宋体" w:hint="eastAsia"/>
          <w:color w:val="333333"/>
          <w:kern w:val="0"/>
          <w:sz w:val="18"/>
          <w:szCs w:val="18"/>
        </w:rPr>
      </w:pPr>
      <w:r w:rsidRPr="003940F9">
        <w:rPr>
          <w:rFonts w:ascii="微软雅黑" w:eastAsia="微软雅黑" w:hAnsi="微软雅黑" w:cs="宋体" w:hint="eastAsia"/>
          <w:color w:val="333333"/>
          <w:kern w:val="0"/>
          <w:sz w:val="18"/>
          <w:szCs w:val="18"/>
        </w:rPr>
        <w:t>本公告自2022年1月1日起施行。</w:t>
      </w:r>
    </w:p>
    <w:p w:rsidR="003940F9" w:rsidRPr="003940F9" w:rsidRDefault="003940F9" w:rsidP="003940F9">
      <w:pPr>
        <w:widowControl/>
        <w:spacing w:line="415" w:lineRule="atLeast"/>
        <w:ind w:firstLine="480"/>
        <w:rPr>
          <w:rFonts w:ascii="微软雅黑" w:eastAsia="微软雅黑" w:hAnsi="微软雅黑" w:cs="宋体" w:hint="eastAsia"/>
          <w:color w:val="333333"/>
          <w:kern w:val="0"/>
          <w:sz w:val="18"/>
          <w:szCs w:val="18"/>
        </w:rPr>
      </w:pPr>
      <w:r w:rsidRPr="003940F9">
        <w:rPr>
          <w:rFonts w:ascii="微软雅黑" w:eastAsia="微软雅黑" w:hAnsi="微软雅黑" w:cs="宋体" w:hint="eastAsia"/>
          <w:color w:val="333333"/>
          <w:kern w:val="0"/>
          <w:sz w:val="18"/>
          <w:szCs w:val="18"/>
        </w:rPr>
        <w:t>特此公告。</w:t>
      </w:r>
    </w:p>
    <w:p w:rsidR="003940F9" w:rsidRPr="003940F9" w:rsidRDefault="003940F9" w:rsidP="003940F9">
      <w:pPr>
        <w:widowControl/>
        <w:spacing w:line="415" w:lineRule="atLeast"/>
        <w:ind w:firstLine="480"/>
        <w:jc w:val="right"/>
        <w:rPr>
          <w:rFonts w:ascii="微软雅黑" w:eastAsia="微软雅黑" w:hAnsi="微软雅黑" w:cs="宋体" w:hint="eastAsia"/>
          <w:color w:val="333333"/>
          <w:kern w:val="0"/>
          <w:sz w:val="18"/>
          <w:szCs w:val="18"/>
        </w:rPr>
      </w:pPr>
      <w:r w:rsidRPr="003940F9">
        <w:rPr>
          <w:rFonts w:ascii="微软雅黑" w:eastAsia="微软雅黑" w:hAnsi="微软雅黑" w:cs="宋体" w:hint="eastAsia"/>
          <w:color w:val="333333"/>
          <w:kern w:val="0"/>
          <w:sz w:val="18"/>
          <w:szCs w:val="18"/>
        </w:rPr>
        <w:t>国家税务总局</w:t>
      </w:r>
    </w:p>
    <w:p w:rsidR="003940F9" w:rsidRPr="003940F9" w:rsidRDefault="003940F9" w:rsidP="003940F9">
      <w:pPr>
        <w:widowControl/>
        <w:spacing w:line="415" w:lineRule="atLeast"/>
        <w:ind w:firstLine="480"/>
        <w:jc w:val="right"/>
        <w:rPr>
          <w:rFonts w:ascii="微软雅黑" w:eastAsia="微软雅黑" w:hAnsi="微软雅黑" w:cs="宋体" w:hint="eastAsia"/>
          <w:color w:val="333333"/>
          <w:kern w:val="0"/>
          <w:sz w:val="18"/>
          <w:szCs w:val="18"/>
        </w:rPr>
      </w:pPr>
      <w:r w:rsidRPr="003940F9">
        <w:rPr>
          <w:rFonts w:ascii="微软雅黑" w:eastAsia="微软雅黑" w:hAnsi="微软雅黑" w:cs="宋体" w:hint="eastAsia"/>
          <w:color w:val="333333"/>
          <w:kern w:val="0"/>
          <w:sz w:val="18"/>
          <w:szCs w:val="18"/>
        </w:rPr>
        <w:t>2021年12月30日</w:t>
      </w:r>
    </w:p>
    <w:p w:rsidR="003940F9" w:rsidRPr="003940F9" w:rsidRDefault="003940F9" w:rsidP="003940F9">
      <w:pPr>
        <w:widowControl/>
        <w:spacing w:line="415" w:lineRule="atLeast"/>
        <w:ind w:firstLine="480"/>
        <w:rPr>
          <w:rFonts w:ascii="微软雅黑" w:eastAsia="微软雅黑" w:hAnsi="微软雅黑" w:cs="宋体" w:hint="eastAsia"/>
          <w:color w:val="333333"/>
          <w:kern w:val="0"/>
          <w:sz w:val="18"/>
          <w:szCs w:val="18"/>
        </w:rPr>
      </w:pPr>
    </w:p>
    <w:p w:rsidR="003940F9" w:rsidRDefault="003940F9">
      <w:pPr>
        <w:widowControl/>
        <w:jc w:val="left"/>
        <w:rPr>
          <w:rFonts w:ascii="微软雅黑" w:eastAsia="微软雅黑" w:hAnsi="微软雅黑" w:cs="宋体"/>
          <w:b/>
          <w:bCs/>
          <w:color w:val="333333"/>
          <w:kern w:val="0"/>
          <w:sz w:val="18"/>
          <w:szCs w:val="18"/>
        </w:rPr>
      </w:pPr>
      <w:r>
        <w:rPr>
          <w:rFonts w:ascii="微软雅黑" w:eastAsia="微软雅黑" w:hAnsi="微软雅黑" w:cs="宋体"/>
          <w:b/>
          <w:bCs/>
          <w:color w:val="333333"/>
          <w:kern w:val="0"/>
          <w:sz w:val="18"/>
          <w:szCs w:val="18"/>
        </w:rPr>
        <w:br w:type="page"/>
      </w:r>
    </w:p>
    <w:p w:rsidR="003940F9" w:rsidRPr="003940F9" w:rsidRDefault="003940F9" w:rsidP="003940F9">
      <w:pPr>
        <w:widowControl/>
        <w:spacing w:line="415" w:lineRule="atLeast"/>
        <w:ind w:firstLine="480"/>
        <w:jc w:val="center"/>
        <w:rPr>
          <w:rFonts w:ascii="微软雅黑" w:eastAsia="微软雅黑" w:hAnsi="微软雅黑" w:cs="宋体" w:hint="eastAsia"/>
          <w:color w:val="333333"/>
          <w:kern w:val="0"/>
          <w:sz w:val="32"/>
          <w:szCs w:val="32"/>
        </w:rPr>
      </w:pPr>
      <w:r w:rsidRPr="003940F9">
        <w:rPr>
          <w:rFonts w:ascii="微软雅黑" w:eastAsia="微软雅黑" w:hAnsi="微软雅黑" w:cs="宋体" w:hint="eastAsia"/>
          <w:b/>
          <w:bCs/>
          <w:color w:val="333333"/>
          <w:kern w:val="0"/>
          <w:sz w:val="32"/>
          <w:szCs w:val="32"/>
        </w:rPr>
        <w:lastRenderedPageBreak/>
        <w:t>第二批税务行政处罚“首违不罚”事项清单</w:t>
      </w:r>
    </w:p>
    <w:p w:rsidR="003940F9" w:rsidRPr="003940F9" w:rsidRDefault="003940F9" w:rsidP="003940F9">
      <w:pPr>
        <w:widowControl/>
        <w:spacing w:line="415" w:lineRule="atLeast"/>
        <w:ind w:firstLine="480"/>
        <w:jc w:val="center"/>
        <w:rPr>
          <w:rFonts w:ascii="微软雅黑" w:eastAsia="微软雅黑" w:hAnsi="微软雅黑" w:cs="宋体" w:hint="eastAsia"/>
          <w:color w:val="333333"/>
          <w:kern w:val="0"/>
          <w:sz w:val="18"/>
          <w:szCs w:val="18"/>
        </w:rPr>
      </w:pPr>
    </w:p>
    <w:p w:rsidR="003940F9" w:rsidRPr="003940F9" w:rsidRDefault="003940F9" w:rsidP="003940F9">
      <w:pPr>
        <w:widowControl/>
        <w:spacing w:line="415" w:lineRule="atLeast"/>
        <w:ind w:firstLine="480"/>
        <w:rPr>
          <w:rFonts w:ascii="微软雅黑" w:eastAsia="微软雅黑" w:hAnsi="微软雅黑" w:cs="宋体" w:hint="eastAsia"/>
          <w:color w:val="333333"/>
          <w:kern w:val="0"/>
          <w:sz w:val="18"/>
          <w:szCs w:val="18"/>
        </w:rPr>
      </w:pPr>
      <w:r w:rsidRPr="003940F9">
        <w:rPr>
          <w:rFonts w:ascii="微软雅黑" w:eastAsia="微软雅黑" w:hAnsi="微软雅黑" w:cs="宋体" w:hint="eastAsia"/>
          <w:color w:val="333333"/>
          <w:kern w:val="0"/>
          <w:sz w:val="18"/>
          <w:szCs w:val="18"/>
        </w:rPr>
        <w:t>对于首次发生下列清单中所列事项且危害后果轻微，在税务机关发现前主动改正或者在税务机关责令限期改正的期限内改正的，不予行政处罚。</w:t>
      </w:r>
    </w:p>
    <w:tbl>
      <w:tblPr>
        <w:tblW w:w="8570" w:type="dxa"/>
        <w:jc w:val="center"/>
        <w:tblCellMar>
          <w:left w:w="0" w:type="dxa"/>
          <w:right w:w="0" w:type="dxa"/>
        </w:tblCellMar>
        <w:tblLook w:val="04A0"/>
      </w:tblPr>
      <w:tblGrid>
        <w:gridCol w:w="864"/>
        <w:gridCol w:w="7706"/>
      </w:tblGrid>
      <w:tr w:rsidR="003940F9" w:rsidRPr="003940F9" w:rsidTr="003940F9">
        <w:trPr>
          <w:trHeight w:val="510"/>
          <w:jc w:val="center"/>
        </w:trPr>
        <w:tc>
          <w:tcPr>
            <w:tcW w:w="8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40F9" w:rsidRPr="003940F9" w:rsidRDefault="003940F9" w:rsidP="003940F9">
            <w:pPr>
              <w:widowControl/>
              <w:spacing w:line="380" w:lineRule="atLeast"/>
              <w:jc w:val="center"/>
              <w:rPr>
                <w:rFonts w:ascii="微软雅黑" w:eastAsia="微软雅黑" w:hAnsi="微软雅黑" w:cs="宋体"/>
                <w:color w:val="333333"/>
                <w:kern w:val="0"/>
                <w:sz w:val="18"/>
                <w:szCs w:val="18"/>
              </w:rPr>
            </w:pPr>
            <w:r w:rsidRPr="003940F9">
              <w:rPr>
                <w:rFonts w:ascii="黑体" w:eastAsia="黑体" w:hAnsi="黑体" w:cs="宋体" w:hint="eastAsia"/>
                <w:color w:val="000000"/>
                <w:kern w:val="0"/>
                <w:sz w:val="32"/>
                <w:szCs w:val="32"/>
              </w:rPr>
              <w:t>序号</w:t>
            </w:r>
          </w:p>
        </w:tc>
        <w:tc>
          <w:tcPr>
            <w:tcW w:w="77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940F9" w:rsidRPr="003940F9" w:rsidRDefault="003940F9" w:rsidP="003940F9">
            <w:pPr>
              <w:widowControl/>
              <w:spacing w:line="380" w:lineRule="atLeast"/>
              <w:jc w:val="center"/>
              <w:rPr>
                <w:rFonts w:ascii="微软雅黑" w:eastAsia="微软雅黑" w:hAnsi="微软雅黑" w:cs="宋体"/>
                <w:color w:val="333333"/>
                <w:kern w:val="0"/>
                <w:sz w:val="18"/>
                <w:szCs w:val="18"/>
              </w:rPr>
            </w:pPr>
            <w:r w:rsidRPr="003940F9">
              <w:rPr>
                <w:rFonts w:ascii="黑体" w:eastAsia="黑体" w:hAnsi="黑体" w:cs="宋体" w:hint="eastAsia"/>
                <w:color w:val="000000"/>
                <w:kern w:val="0"/>
                <w:sz w:val="32"/>
                <w:szCs w:val="32"/>
              </w:rPr>
              <w:t>事项</w:t>
            </w:r>
          </w:p>
        </w:tc>
      </w:tr>
      <w:tr w:rsidR="003940F9" w:rsidRPr="003940F9" w:rsidTr="003940F9">
        <w:trPr>
          <w:trHeight w:val="2020"/>
          <w:jc w:val="center"/>
        </w:trPr>
        <w:tc>
          <w:tcPr>
            <w:tcW w:w="8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40F9" w:rsidRPr="003940F9" w:rsidRDefault="003940F9" w:rsidP="003940F9">
            <w:pPr>
              <w:widowControl/>
              <w:spacing w:line="380" w:lineRule="atLeast"/>
              <w:jc w:val="center"/>
              <w:rPr>
                <w:rFonts w:ascii="微软雅黑" w:eastAsia="微软雅黑" w:hAnsi="微软雅黑" w:cs="宋体"/>
                <w:color w:val="333333"/>
                <w:kern w:val="0"/>
                <w:sz w:val="18"/>
                <w:szCs w:val="18"/>
              </w:rPr>
            </w:pPr>
            <w:r w:rsidRPr="003940F9">
              <w:rPr>
                <w:rFonts w:ascii="微软雅黑" w:eastAsia="微软雅黑" w:hAnsi="微软雅黑" w:cs="宋体" w:hint="eastAsia"/>
                <w:color w:val="333333"/>
                <w:kern w:val="0"/>
                <w:sz w:val="18"/>
                <w:szCs w:val="18"/>
              </w:rPr>
              <w:t>1</w:t>
            </w:r>
          </w:p>
        </w:tc>
        <w:tc>
          <w:tcPr>
            <w:tcW w:w="7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40F9" w:rsidRPr="003940F9" w:rsidRDefault="003940F9" w:rsidP="003940F9">
            <w:pPr>
              <w:widowControl/>
              <w:spacing w:line="380" w:lineRule="atLeast"/>
              <w:jc w:val="left"/>
              <w:rPr>
                <w:rFonts w:ascii="微软雅黑" w:eastAsia="微软雅黑" w:hAnsi="微软雅黑" w:cs="宋体"/>
                <w:color w:val="333333"/>
                <w:kern w:val="0"/>
                <w:sz w:val="18"/>
                <w:szCs w:val="18"/>
              </w:rPr>
            </w:pPr>
            <w:r w:rsidRPr="003940F9">
              <w:rPr>
                <w:rFonts w:ascii="微软雅黑" w:eastAsia="微软雅黑" w:hAnsi="微软雅黑" w:cs="宋体" w:hint="eastAsia"/>
                <w:color w:val="333333"/>
                <w:kern w:val="0"/>
                <w:sz w:val="18"/>
                <w:szCs w:val="18"/>
              </w:rPr>
              <w:t>纳税人使用非税控电子器具开具发票，未按照税收征收管理法及实施细则、发票管理办法等有关规定将非税控电子器具使用的软件程序说明资料报主管税务机关备案且没有违法所得</w:t>
            </w:r>
          </w:p>
        </w:tc>
      </w:tr>
      <w:tr w:rsidR="003940F9" w:rsidRPr="003940F9" w:rsidTr="003940F9">
        <w:trPr>
          <w:trHeight w:val="1485"/>
          <w:jc w:val="center"/>
        </w:trPr>
        <w:tc>
          <w:tcPr>
            <w:tcW w:w="8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40F9" w:rsidRPr="003940F9" w:rsidRDefault="003940F9" w:rsidP="003940F9">
            <w:pPr>
              <w:widowControl/>
              <w:spacing w:line="380" w:lineRule="atLeast"/>
              <w:jc w:val="center"/>
              <w:rPr>
                <w:rFonts w:ascii="微软雅黑" w:eastAsia="微软雅黑" w:hAnsi="微软雅黑" w:cs="宋体"/>
                <w:color w:val="333333"/>
                <w:kern w:val="0"/>
                <w:sz w:val="18"/>
                <w:szCs w:val="18"/>
              </w:rPr>
            </w:pPr>
            <w:r w:rsidRPr="003940F9">
              <w:rPr>
                <w:rFonts w:ascii="微软雅黑" w:eastAsia="微软雅黑" w:hAnsi="微软雅黑" w:cs="宋体" w:hint="eastAsia"/>
                <w:color w:val="333333"/>
                <w:kern w:val="0"/>
                <w:sz w:val="18"/>
                <w:szCs w:val="18"/>
              </w:rPr>
              <w:t>2</w:t>
            </w:r>
          </w:p>
        </w:tc>
        <w:tc>
          <w:tcPr>
            <w:tcW w:w="7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40F9" w:rsidRPr="003940F9" w:rsidRDefault="003940F9" w:rsidP="003940F9">
            <w:pPr>
              <w:widowControl/>
              <w:spacing w:line="380" w:lineRule="atLeast"/>
              <w:jc w:val="left"/>
              <w:rPr>
                <w:rFonts w:ascii="微软雅黑" w:eastAsia="微软雅黑" w:hAnsi="微软雅黑" w:cs="宋体"/>
                <w:color w:val="333333"/>
                <w:kern w:val="0"/>
                <w:sz w:val="18"/>
                <w:szCs w:val="18"/>
              </w:rPr>
            </w:pPr>
            <w:r w:rsidRPr="003940F9">
              <w:rPr>
                <w:rFonts w:ascii="微软雅黑" w:eastAsia="微软雅黑" w:hAnsi="微软雅黑" w:cs="宋体" w:hint="eastAsia"/>
                <w:color w:val="333333"/>
                <w:kern w:val="0"/>
                <w:sz w:val="18"/>
                <w:szCs w:val="18"/>
              </w:rPr>
              <w:t>纳税人未按照税收征收管理法及实施细则、税务登记管理办法等有关规定办理税务登记证件验证或者换证手续</w:t>
            </w:r>
          </w:p>
        </w:tc>
      </w:tr>
      <w:tr w:rsidR="003940F9" w:rsidRPr="003940F9" w:rsidTr="003940F9">
        <w:trPr>
          <w:trHeight w:val="1390"/>
          <w:jc w:val="center"/>
        </w:trPr>
        <w:tc>
          <w:tcPr>
            <w:tcW w:w="8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40F9" w:rsidRPr="003940F9" w:rsidRDefault="003940F9" w:rsidP="003940F9">
            <w:pPr>
              <w:widowControl/>
              <w:spacing w:line="380" w:lineRule="atLeast"/>
              <w:jc w:val="center"/>
              <w:rPr>
                <w:rFonts w:ascii="微软雅黑" w:eastAsia="微软雅黑" w:hAnsi="微软雅黑" w:cs="宋体"/>
                <w:color w:val="333333"/>
                <w:kern w:val="0"/>
                <w:sz w:val="18"/>
                <w:szCs w:val="18"/>
              </w:rPr>
            </w:pPr>
            <w:r w:rsidRPr="003940F9">
              <w:rPr>
                <w:rFonts w:ascii="微软雅黑" w:eastAsia="微软雅黑" w:hAnsi="微软雅黑" w:cs="宋体" w:hint="eastAsia"/>
                <w:color w:val="333333"/>
                <w:kern w:val="0"/>
                <w:sz w:val="18"/>
                <w:szCs w:val="18"/>
              </w:rPr>
              <w:t>3</w:t>
            </w:r>
          </w:p>
        </w:tc>
        <w:tc>
          <w:tcPr>
            <w:tcW w:w="7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40F9" w:rsidRPr="003940F9" w:rsidRDefault="003940F9" w:rsidP="003940F9">
            <w:pPr>
              <w:widowControl/>
              <w:spacing w:line="380" w:lineRule="atLeast"/>
              <w:jc w:val="left"/>
              <w:rPr>
                <w:rFonts w:ascii="微软雅黑" w:eastAsia="微软雅黑" w:hAnsi="微软雅黑" w:cs="宋体"/>
                <w:color w:val="333333"/>
                <w:kern w:val="0"/>
                <w:sz w:val="18"/>
                <w:szCs w:val="18"/>
              </w:rPr>
            </w:pPr>
            <w:r w:rsidRPr="003940F9">
              <w:rPr>
                <w:rFonts w:ascii="微软雅黑" w:eastAsia="微软雅黑" w:hAnsi="微软雅黑" w:cs="宋体" w:hint="eastAsia"/>
                <w:color w:val="333333"/>
                <w:kern w:val="0"/>
                <w:sz w:val="18"/>
                <w:szCs w:val="18"/>
              </w:rPr>
              <w:t>纳税人未按照税收征收管理法及实施细则、发票管理办法等有关规定加盖发票专用章且没有违法所得</w:t>
            </w:r>
          </w:p>
        </w:tc>
      </w:tr>
      <w:tr w:rsidR="003940F9" w:rsidRPr="003940F9" w:rsidTr="003940F9">
        <w:trPr>
          <w:trHeight w:val="1665"/>
          <w:jc w:val="center"/>
        </w:trPr>
        <w:tc>
          <w:tcPr>
            <w:tcW w:w="8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40F9" w:rsidRPr="003940F9" w:rsidRDefault="003940F9" w:rsidP="003940F9">
            <w:pPr>
              <w:widowControl/>
              <w:spacing w:line="380" w:lineRule="atLeast"/>
              <w:jc w:val="center"/>
              <w:rPr>
                <w:rFonts w:ascii="微软雅黑" w:eastAsia="微软雅黑" w:hAnsi="微软雅黑" w:cs="宋体"/>
                <w:color w:val="333333"/>
                <w:kern w:val="0"/>
                <w:sz w:val="18"/>
                <w:szCs w:val="18"/>
              </w:rPr>
            </w:pPr>
            <w:r w:rsidRPr="003940F9">
              <w:rPr>
                <w:rFonts w:ascii="微软雅黑" w:eastAsia="微软雅黑" w:hAnsi="微软雅黑" w:cs="宋体" w:hint="eastAsia"/>
                <w:color w:val="333333"/>
                <w:kern w:val="0"/>
                <w:sz w:val="18"/>
                <w:szCs w:val="18"/>
              </w:rPr>
              <w:t>4</w:t>
            </w:r>
          </w:p>
        </w:tc>
        <w:tc>
          <w:tcPr>
            <w:tcW w:w="7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40F9" w:rsidRPr="003940F9" w:rsidRDefault="003940F9" w:rsidP="003940F9">
            <w:pPr>
              <w:widowControl/>
              <w:spacing w:line="380" w:lineRule="atLeast"/>
              <w:jc w:val="left"/>
              <w:rPr>
                <w:rFonts w:ascii="微软雅黑" w:eastAsia="微软雅黑" w:hAnsi="微软雅黑" w:cs="宋体"/>
                <w:color w:val="333333"/>
                <w:kern w:val="0"/>
                <w:sz w:val="18"/>
                <w:szCs w:val="18"/>
              </w:rPr>
            </w:pPr>
            <w:r w:rsidRPr="003940F9">
              <w:rPr>
                <w:rFonts w:ascii="微软雅黑" w:eastAsia="微软雅黑" w:hAnsi="微软雅黑" w:cs="宋体" w:hint="eastAsia"/>
                <w:color w:val="333333"/>
                <w:kern w:val="0"/>
                <w:sz w:val="18"/>
                <w:szCs w:val="18"/>
              </w:rPr>
              <w:t>纳税人未按照税收征收管理法及实施细则等有关规定将财务、会计制度或者财务、会计处理办法和会计核算软件报送税务机关备查</w:t>
            </w:r>
          </w:p>
        </w:tc>
      </w:tr>
    </w:tbl>
    <w:p w:rsidR="00676790" w:rsidRPr="003940F9" w:rsidRDefault="00676790"/>
    <w:sectPr w:rsidR="00676790" w:rsidRPr="003940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6790" w:rsidRDefault="00676790" w:rsidP="003940F9">
      <w:r>
        <w:separator/>
      </w:r>
    </w:p>
  </w:endnote>
  <w:endnote w:type="continuationSeparator" w:id="1">
    <w:p w:rsidR="00676790" w:rsidRDefault="00676790" w:rsidP="003940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6790" w:rsidRDefault="00676790" w:rsidP="003940F9">
      <w:r>
        <w:separator/>
      </w:r>
    </w:p>
  </w:footnote>
  <w:footnote w:type="continuationSeparator" w:id="1">
    <w:p w:rsidR="00676790" w:rsidRDefault="00676790" w:rsidP="003940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40F9"/>
    <w:rsid w:val="003940F9"/>
    <w:rsid w:val="006767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40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940F9"/>
    <w:rPr>
      <w:sz w:val="18"/>
      <w:szCs w:val="18"/>
    </w:rPr>
  </w:style>
  <w:style w:type="paragraph" w:styleId="a4">
    <w:name w:val="footer"/>
    <w:basedOn w:val="a"/>
    <w:link w:val="Char0"/>
    <w:uiPriority w:val="99"/>
    <w:semiHidden/>
    <w:unhideWhenUsed/>
    <w:rsid w:val="003940F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940F9"/>
    <w:rPr>
      <w:sz w:val="18"/>
      <w:szCs w:val="18"/>
    </w:rPr>
  </w:style>
  <w:style w:type="character" w:customStyle="1" w:styleId="dhgao">
    <w:name w:val="dhgao"/>
    <w:basedOn w:val="a0"/>
    <w:rsid w:val="003940F9"/>
  </w:style>
  <w:style w:type="character" w:customStyle="1" w:styleId="hao1">
    <w:name w:val="hao1"/>
    <w:basedOn w:val="a0"/>
    <w:rsid w:val="003940F9"/>
  </w:style>
  <w:style w:type="character" w:customStyle="1" w:styleId="yxq-tip">
    <w:name w:val="yxq-tip"/>
    <w:basedOn w:val="a0"/>
    <w:rsid w:val="003940F9"/>
  </w:style>
  <w:style w:type="character" w:customStyle="1" w:styleId="laiyuan">
    <w:name w:val="laiyuan"/>
    <w:basedOn w:val="a0"/>
    <w:rsid w:val="003940F9"/>
  </w:style>
  <w:style w:type="character" w:styleId="a5">
    <w:name w:val="Hyperlink"/>
    <w:basedOn w:val="a0"/>
    <w:uiPriority w:val="99"/>
    <w:semiHidden/>
    <w:unhideWhenUsed/>
    <w:rsid w:val="003940F9"/>
    <w:rPr>
      <w:color w:val="0000FF"/>
      <w:u w:val="single"/>
    </w:rPr>
  </w:style>
  <w:style w:type="paragraph" w:styleId="a6">
    <w:name w:val="Normal (Web)"/>
    <w:basedOn w:val="a"/>
    <w:uiPriority w:val="99"/>
    <w:semiHidden/>
    <w:unhideWhenUsed/>
    <w:rsid w:val="003940F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39072097">
      <w:bodyDiv w:val="1"/>
      <w:marLeft w:val="0"/>
      <w:marRight w:val="0"/>
      <w:marTop w:val="0"/>
      <w:marBottom w:val="0"/>
      <w:divBdr>
        <w:top w:val="none" w:sz="0" w:space="0" w:color="auto"/>
        <w:left w:val="none" w:sz="0" w:space="0" w:color="auto"/>
        <w:bottom w:val="none" w:sz="0" w:space="0" w:color="auto"/>
        <w:right w:val="none" w:sz="0" w:space="0" w:color="auto"/>
      </w:divBdr>
      <w:divsChild>
        <w:div w:id="191578570">
          <w:marLeft w:val="0"/>
          <w:marRight w:val="0"/>
          <w:marTop w:val="161"/>
          <w:marBottom w:val="161"/>
          <w:divBdr>
            <w:top w:val="none" w:sz="0" w:space="0" w:color="auto"/>
            <w:left w:val="none" w:sz="0" w:space="0" w:color="auto"/>
            <w:bottom w:val="none" w:sz="0" w:space="0" w:color="auto"/>
            <w:right w:val="none" w:sz="0" w:space="0" w:color="auto"/>
          </w:divBdr>
          <w:divsChild>
            <w:div w:id="1238439771">
              <w:marLeft w:val="0"/>
              <w:marRight w:val="0"/>
              <w:marTop w:val="115"/>
              <w:marBottom w:val="0"/>
              <w:divBdr>
                <w:top w:val="none" w:sz="0" w:space="0" w:color="auto"/>
                <w:left w:val="none" w:sz="0" w:space="0" w:color="auto"/>
                <w:bottom w:val="none" w:sz="0" w:space="0" w:color="auto"/>
                <w:right w:val="none" w:sz="0" w:space="0" w:color="auto"/>
              </w:divBdr>
              <w:divsChild>
                <w:div w:id="410011600">
                  <w:marLeft w:val="0"/>
                  <w:marRight w:val="0"/>
                  <w:marTop w:val="0"/>
                  <w:marBottom w:val="0"/>
                  <w:divBdr>
                    <w:top w:val="none" w:sz="0" w:space="0" w:color="auto"/>
                    <w:left w:val="none" w:sz="0" w:space="0" w:color="auto"/>
                    <w:bottom w:val="none" w:sz="0" w:space="0" w:color="auto"/>
                    <w:right w:val="none" w:sz="0" w:space="0" w:color="auto"/>
                  </w:divBdr>
                  <w:divsChild>
                    <w:div w:id="467280195">
                      <w:marLeft w:val="58"/>
                      <w:marRight w:val="0"/>
                      <w:marTop w:val="0"/>
                      <w:marBottom w:val="0"/>
                      <w:divBdr>
                        <w:top w:val="none" w:sz="0" w:space="0" w:color="auto"/>
                        <w:left w:val="none" w:sz="0" w:space="0" w:color="auto"/>
                        <w:bottom w:val="none" w:sz="0" w:space="0" w:color="auto"/>
                        <w:right w:val="none" w:sz="0" w:space="0" w:color="auto"/>
                      </w:divBdr>
                      <w:divsChild>
                        <w:div w:id="487868695">
                          <w:marLeft w:val="0"/>
                          <w:marRight w:val="0"/>
                          <w:marTop w:val="0"/>
                          <w:marBottom w:val="0"/>
                          <w:divBdr>
                            <w:top w:val="none" w:sz="0" w:space="0" w:color="auto"/>
                            <w:left w:val="none" w:sz="0" w:space="0" w:color="auto"/>
                            <w:bottom w:val="none" w:sz="0" w:space="0" w:color="auto"/>
                            <w:right w:val="none" w:sz="0" w:space="0" w:color="auto"/>
                          </w:divBdr>
                          <w:divsChild>
                            <w:div w:id="70425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924316">
                  <w:marLeft w:val="115"/>
                  <w:marRight w:val="0"/>
                  <w:marTop w:val="0"/>
                  <w:marBottom w:val="0"/>
                  <w:divBdr>
                    <w:top w:val="none" w:sz="0" w:space="0" w:color="auto"/>
                    <w:left w:val="none" w:sz="0" w:space="0" w:color="auto"/>
                    <w:bottom w:val="none" w:sz="0" w:space="0" w:color="auto"/>
                    <w:right w:val="none" w:sz="0" w:space="0" w:color="auto"/>
                  </w:divBdr>
                </w:div>
                <w:div w:id="21214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2023-09-13T01:40:00Z</dcterms:created>
  <dcterms:modified xsi:type="dcterms:W3CDTF">2023-09-13T01:42:00Z</dcterms:modified>
</cp:coreProperties>
</file>