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B5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临江市市场监督管理局</w:t>
      </w:r>
    </w:p>
    <w:p w14:paraId="6BD79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不予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行政处罚决定书</w:t>
      </w:r>
    </w:p>
    <w:p w14:paraId="3ED80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Xiia2gAAAAsBAAAPAAAAAAAAAAEAIAAAACIAAABk&#10;cnMvZG93bnJldi54bWxQSwECFAAUAAAACACHTuJA5jJR3AQCAAD8AwAADgAAAAAAAAABACAAAAAp&#10;AQAAZHJzL2Uyb0RvYy54bWxQSwUGAAAAAAYABgBZAQAAnw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临市监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不罚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字〔202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号</w:t>
      </w:r>
    </w:p>
    <w:bookmarkEnd w:id="0"/>
    <w:p w14:paraId="1320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当事人：临江市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惠万家生鲜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超市        </w:t>
      </w:r>
    </w:p>
    <w:p w14:paraId="6405B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主体资格证照名称：营业执照                                  </w:t>
      </w:r>
    </w:p>
    <w:p w14:paraId="7CF05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统一社会信用代码（注册号）：922206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81MACCYFUL9A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     </w:t>
      </w:r>
    </w:p>
    <w:p w14:paraId="08CDD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住所（住址）：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u w:val="none"/>
        </w:rPr>
        <w:t>临江市兴隆街1委1组-S-03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                 </w:t>
      </w:r>
    </w:p>
    <w:p w14:paraId="01545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法定代表人（负责人、经营者）：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付春花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  </w:t>
      </w:r>
    </w:p>
    <w:p w14:paraId="01447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</w:t>
      </w:r>
    </w:p>
    <w:p w14:paraId="13A00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baseline"/>
        <w:rPr>
          <w:rFonts w:hint="default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2024年7月10日，临江市市场监督管理局兴隆综合分局执法人员现场检查过程中，发现临江市惠万家生鲜超市有4包康师傅小鸡炖蘑菇面（生产日期20231207，保质期6个月，保质期至20240606）、6包康师傅牛尾汤面（生产日期20231226，保质期6个月，保质期至20240625）在售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当事人对该案件调查结果无异议，法定期限内未提出复议申请。</w:t>
      </w:r>
    </w:p>
    <w:p w14:paraId="4E429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经查，临江市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惠万家生鲜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超市于202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日在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临江市辉晟批发部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购进一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箱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24袋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康师傅小鸡炖蘑菇面、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</w:rPr>
        <w:t>日在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临江市辉晟批发部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</w:rPr>
        <w:t>购进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康师傅牛尾汤面和康师傅经典袋金汤肥牛面共计12袋（康师傅牛尾汤面6袋未在进货票据上体现）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24袋康师傅小鸡炖蘑菇面在保质期内销售20袋，剩余4袋；康师傅牛尾汤面6袋均未售出。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因当事人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得了阑尾炎，在临江市恒兴中医院打针，忽略了对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none"/>
          <w:lang w:val="en-US" w:eastAsia="zh-CN"/>
        </w:rPr>
        <w:t>临期和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过期食品的检查。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进货过程中，当事人履行了进货查验制度，依规查验了供货商的营业执照、食品经营许可证等相关材料。</w:t>
      </w:r>
    </w:p>
    <w:p w14:paraId="6AEB4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上述事实，主要有以下证据证明：      </w:t>
      </w:r>
    </w:p>
    <w:p w14:paraId="6CF21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《现场检查笔录》一份，证明当事人经营情况属实；</w:t>
      </w:r>
    </w:p>
    <w:p w14:paraId="2721B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《询问笔录》一份，证明当事人经营销售过保质期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方便面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的事实；</w:t>
      </w:r>
    </w:p>
    <w:p w14:paraId="15253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《营业执照》复印件一份，证明当事人主体资格情况；</w:t>
      </w:r>
    </w:p>
    <w:p w14:paraId="7A6FE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《食品经营许可证》复印件一份，证明当事人资质情况；</w:t>
      </w:r>
    </w:p>
    <w:p w14:paraId="570E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5.付春花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身份证复印件一份，证明负责人基本情况；</w:t>
      </w:r>
    </w:p>
    <w:p w14:paraId="35086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进货票据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份，证明当事人购进该批次产品的数量、价格等情况；</w:t>
      </w:r>
    </w:p>
    <w:p w14:paraId="5927F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供货商营业执照、食品经营许可证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产品检验报告单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复印件各一份，证明供货商主体资格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资质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；</w:t>
      </w:r>
    </w:p>
    <w:p w14:paraId="0A950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现场检查照片一份，证明现场经营情况属实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；</w:t>
      </w:r>
    </w:p>
    <w:p w14:paraId="15601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整改报告一份，证明当事人整改情况；</w:t>
      </w:r>
    </w:p>
    <w:p w14:paraId="25737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10.商品照片2张，证明已过保质期情况属实；</w:t>
      </w:r>
    </w:p>
    <w:p w14:paraId="2B37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>11、当事人付春花彩超检查报告单、超声诊断报告单、门诊诊断书复印件一份，证明当事人生病情况属实。</w:t>
      </w:r>
    </w:p>
    <w:p w14:paraId="41632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于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依法向当事人送达《临江市市场监督管理局不予行政处罚告知书》（临市监不罚告字【202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】1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号），将本局拟作出的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不予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行政处罚的事实、理由、依据内容及当事人依法享有的权利告知当事人。当事人在法定期限内未向本局提出陈述、申辩。                 </w:t>
      </w:r>
    </w:p>
    <w:p w14:paraId="6C3B6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本局认为：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当事人上述行为违反了《中华人民共和国食品安全法》第三十四条第一款第（十）项规定：禁止生产经营下列食品、食品添加剂、食品相关产品：“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标注虚假生产日期、保质期或者超过保质期的食品、食品添加剂；”的规定。</w:t>
      </w:r>
    </w:p>
    <w:p w14:paraId="77613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当事人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系初次违法并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充分履行了进货查验制度，在本局调查取证过程中能积极配合调查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违法情节轻微，且未造成严重危害后果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。当事人并非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故意销售过期食品，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生病而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疏忽大意，并及时对店内其他在售食品进行查验，未发现其他过期食品在售情况。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依据《中华人民共和国行政处罚法》第三十三条规定：“违法行为轻微并及时改正，没有造成危害后果的，不予行政处罚。初次违法且危害后果轻微并及时改正的，可以不予行政处罚。当事人有证据足以证明没有主观过错的，不予行政处罚。法律、行政法规另有规定的，从其规定。对当事人的违法行为依法不予行政处罚的，行政机关应当对当事人进行教育。”</w:t>
      </w:r>
    </w:p>
    <w:p w14:paraId="61867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综上，当事人上述行为违反了《中华人民共和国食品安全法》第三十四条第一款第（十）项规定，依据《中华人民共和国行政处罚法》第三十三条规定，结合本案实际，经本局研究决定，对临江市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惠万家生鲜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超市（经营者：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付春花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）不予行政处罚，并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你（单位）进行教育，具体内容如下：</w:t>
      </w:r>
    </w:p>
    <w:p w14:paraId="60A23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 责令当事人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立即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改正销售超过保质期食品的行为。</w:t>
      </w:r>
    </w:p>
    <w:p w14:paraId="5DDA9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2.加强《中华人民共和国食品安全法》的学习，依法开展经营活动。</w:t>
      </w:r>
    </w:p>
    <w:p w14:paraId="133BC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如对本行政处罚决定不服，可于收到本决定书之日起六十日内向临江市人民政府申请复议，或于六个月内依法向临江市人民法院提起行政诉讼。</w:t>
      </w:r>
    </w:p>
    <w:p w14:paraId="25ADA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根据《企业信息公示暂行条例》的有关规定，本局将通过企业信用信息公示系统、门户网站、专门网站等公示行政处罚信息。</w:t>
      </w:r>
    </w:p>
    <w:p w14:paraId="31A41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特此告知。</w:t>
      </w:r>
    </w:p>
    <w:p w14:paraId="4557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 w14:paraId="3FF59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960" w:firstLineChars="15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临江市市场监督管理局</w:t>
      </w:r>
    </w:p>
    <w:p w14:paraId="04B38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920" w:firstLineChars="185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（印章）</w:t>
      </w:r>
    </w:p>
    <w:p w14:paraId="76885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440" w:firstLineChars="17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</w:t>
      </w:r>
    </w:p>
    <w:p w14:paraId="62CA1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83185</wp:posOffset>
                </wp:positionV>
                <wp:extent cx="571500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95pt;margin-top:6.55pt;height:0.75pt;width:450pt;z-index:251660288;mso-width-relative:page;mso-height-relative:page;" filled="f" stroked="t" coordsize="21600,21600" o:gfxdata="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PvttrXAAAACQEAAA8AAAAAAAAAAQAgAAAAIgAAAGRycy9kb3ducmV2Lnht&#10;bFBLAQIUABQAAAAIAIdO4kAfL3Lv+gEAAPE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DBAA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本文书一式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份送达，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份归档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jkxNTU5OTQ5NDRhNTJhM2UzYzA4Y2FkNzdlN2MifQ=="/>
  </w:docVars>
  <w:rsids>
    <w:rsidRoot w:val="11B2590A"/>
    <w:rsid w:val="05491838"/>
    <w:rsid w:val="06DC6F21"/>
    <w:rsid w:val="07187499"/>
    <w:rsid w:val="09897C8F"/>
    <w:rsid w:val="0B49687B"/>
    <w:rsid w:val="11B2590A"/>
    <w:rsid w:val="12994F4B"/>
    <w:rsid w:val="17C35F80"/>
    <w:rsid w:val="1E2A1A09"/>
    <w:rsid w:val="1FEE2AF8"/>
    <w:rsid w:val="22E12AFF"/>
    <w:rsid w:val="23215E52"/>
    <w:rsid w:val="24880891"/>
    <w:rsid w:val="27B11B79"/>
    <w:rsid w:val="2A590753"/>
    <w:rsid w:val="2AD176BD"/>
    <w:rsid w:val="2E1B0437"/>
    <w:rsid w:val="2EDF0B40"/>
    <w:rsid w:val="2FD23A59"/>
    <w:rsid w:val="323A7BD9"/>
    <w:rsid w:val="34672B57"/>
    <w:rsid w:val="3708474F"/>
    <w:rsid w:val="3ABA41E2"/>
    <w:rsid w:val="460F49B9"/>
    <w:rsid w:val="49D05F43"/>
    <w:rsid w:val="4DBA1F17"/>
    <w:rsid w:val="591A7996"/>
    <w:rsid w:val="650D2C1F"/>
    <w:rsid w:val="76745019"/>
    <w:rsid w:val="7A3E6D7E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1672</Words>
  <Characters>1796</Characters>
  <Lines>0</Lines>
  <Paragraphs>0</Paragraphs>
  <TotalTime>0</TotalTime>
  <ScaleCrop>false</ScaleCrop>
  <LinksUpToDate>false</LinksUpToDate>
  <CharactersWithSpaces>2020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2023-07-04T00:44:00Z</dcterms:created>
  <dc:creator>Administrator</dc:creator>
  <cp:lastModifiedBy>忘川</cp:lastModifiedBy>
  <cp:lastPrinted>2023-12-11T02:26:00Z</cp:lastPrinted>
  <dcterms:modified xsi:type="dcterms:W3CDTF">2024-08-19T01:28:04Z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BC11D6108F224E21BA3D140872C34398_13</vt:lpwstr>
  </property>
</Properties>
</file>