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F5C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firstLine="640" w:firstLineChars="200"/>
        <w:rPr>
          <w:rFonts w:hint="eastAsia" w:ascii="仿宋_GB2312" w:hAnsi="仿宋_GB2312" w:eastAsia="仿宋_GB2312" w:cs="仿宋_GB2312"/>
          <w:spacing w:val="0"/>
          <w:w w:val="100"/>
          <w:sz w:val="32"/>
          <w:szCs w:val="32"/>
          <w:lang w:val="en-US" w:eastAsia="zh-CN"/>
        </w:rPr>
      </w:pPr>
      <w:bookmarkStart w:id="0" w:name="_GoBack"/>
      <w:bookmarkEnd w:id="0"/>
      <w:r>
        <w:rPr>
          <w:rFonts w:hint="eastAsia" w:ascii="仿宋_GB2312" w:hAnsi="仿宋_GB2312" w:eastAsia="仿宋_GB2312" w:cs="仿宋_GB2312"/>
          <w:spacing w:val="0"/>
          <w:w w:val="100"/>
          <w:sz w:val="32"/>
          <w:szCs w:val="32"/>
          <w:lang w:eastAsia="zh-CN"/>
        </w:rPr>
        <w:t>《中华人民共和国种子法》，2021年12月24日，中华人民共和国第十三届全国人民代表大会常务委员会第三十二次会议通过《全国人民代表大会常务委员会关于修改＜中华人民共和国种子法＞的决定》，自2022年3月1日起施</w:t>
      </w:r>
      <w:r>
        <w:rPr>
          <w:rFonts w:hint="eastAsia" w:ascii="仿宋_GB2312" w:hAnsi="仿宋_GB2312" w:eastAsia="仿宋_GB2312" w:cs="仿宋_GB2312"/>
          <w:spacing w:val="0"/>
          <w:w w:val="100"/>
          <w:sz w:val="32"/>
          <w:szCs w:val="32"/>
          <w:lang w:val="en-US" w:eastAsia="zh-CN"/>
        </w:rPr>
        <w:t>行，</w:t>
      </w:r>
    </w:p>
    <w:p w14:paraId="68E4FC1D">
      <w:pPr>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第五章 种子生产经营</w:t>
      </w:r>
    </w:p>
    <w:p w14:paraId="7D68DA87">
      <w:pPr>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第三十三条 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w:t>
      </w:r>
    </w:p>
    <w:p w14:paraId="1CE448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第</w:t>
      </w:r>
      <w:r>
        <w:rPr>
          <w:rFonts w:hint="eastAsia" w:ascii="仿宋_GB2312" w:hAnsi="仿宋_GB2312" w:eastAsia="仿宋_GB2312" w:cs="仿宋_GB2312"/>
          <w:spacing w:val="0"/>
          <w:w w:val="100"/>
          <w:sz w:val="32"/>
          <w:szCs w:val="32"/>
          <w:lang w:eastAsia="zh-CN"/>
        </w:rPr>
        <w:t>六章 种子监督管理</w:t>
      </w:r>
    </w:p>
    <w:p w14:paraId="37D881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rPr>
        <w:t>第四十六条</w:t>
      </w:r>
      <w:r>
        <w:rPr>
          <w:rFonts w:hint="eastAsia" w:ascii="仿宋_GB2312" w:hAnsi="仿宋_GB2312" w:eastAsia="仿宋_GB2312" w:cs="仿宋_GB2312"/>
          <w:spacing w:val="0"/>
          <w:w w:val="100"/>
          <w:sz w:val="32"/>
          <w:szCs w:val="32"/>
          <w:lang w:val="en-US" w:eastAsia="zh-CN"/>
        </w:rPr>
        <w:t xml:space="preserve"> </w:t>
      </w:r>
      <w:r>
        <w:rPr>
          <w:rFonts w:hint="default" w:ascii="仿宋_GB2312" w:hAnsi="仿宋_GB2312" w:eastAsia="仿宋_GB2312" w:cs="仿宋_GB2312"/>
          <w:spacing w:val="0"/>
          <w:w w:val="100"/>
          <w:sz w:val="32"/>
          <w:szCs w:val="32"/>
          <w:lang w:val="en-US" w:eastAsia="zh-CN"/>
        </w:rPr>
        <w:t>农业农村、林业草原主管部门应当加强对种</w:t>
      </w:r>
      <w:r>
        <w:rPr>
          <w:rFonts w:hint="default" w:ascii="仿宋_GB2312" w:hAnsi="仿宋_GB2312" w:eastAsia="仿宋_GB2312" w:cs="仿宋_GB2312"/>
          <w:spacing w:val="0"/>
          <w:w w:val="100"/>
          <w:sz w:val="32"/>
          <w:szCs w:val="32"/>
          <w:lang w:val="en-US" w:eastAsia="zh-CN" w:bidi="ar-SA"/>
        </w:rPr>
        <w:t>子质量的监督检查。种子质量管理办法、行业标准和检验方法，由国务院农业农村、林业草原主管部门制定。</w:t>
      </w:r>
    </w:p>
    <w:p w14:paraId="03356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03677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除本法另有规定外，禁止任何单位和个人无种子生产经营许可证或者违反种子生产经营许可证的规定生产、经营种子。禁止伪造、变造、买卖、租借种子生产经营许可证。</w:t>
      </w:r>
    </w:p>
    <w:p w14:paraId="235BF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《古树名木保护条例》</w:t>
      </w:r>
      <w:r>
        <w:rPr>
          <w:rFonts w:hint="eastAsia" w:ascii="仿宋_GB2312" w:hAnsi="仿宋_GB2312" w:eastAsia="仿宋_GB2312" w:cs="仿宋_GB2312"/>
          <w:spacing w:val="0"/>
          <w:w w:val="100"/>
          <w:sz w:val="32"/>
          <w:szCs w:val="32"/>
          <w:lang w:val="en-US" w:eastAsia="zh-CN" w:bidi="ar-SA"/>
        </w:rPr>
        <w:t>，</w:t>
      </w:r>
      <w:r>
        <w:rPr>
          <w:rFonts w:hint="default" w:ascii="仿宋_GB2312" w:hAnsi="仿宋_GB2312" w:eastAsia="仿宋_GB2312" w:cs="仿宋_GB2312"/>
          <w:spacing w:val="0"/>
          <w:w w:val="100"/>
          <w:sz w:val="32"/>
          <w:szCs w:val="32"/>
          <w:lang w:val="en-US" w:eastAsia="zh-CN" w:bidi="ar-SA"/>
        </w:rPr>
        <w:t>2025年1月25日，国务院总理李强签署国务院令，公布《古树名木保护条例》，自2025年3月15日起施行。</w:t>
      </w:r>
    </w:p>
    <w:p w14:paraId="15B359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第十五条</w:t>
      </w:r>
      <w:r>
        <w:rPr>
          <w:rFonts w:hint="eastAsia" w:ascii="仿宋_GB2312" w:hAnsi="仿宋_GB2312" w:eastAsia="仿宋_GB2312" w:cs="仿宋_GB2312"/>
          <w:spacing w:val="0"/>
          <w:w w:val="100"/>
          <w:sz w:val="32"/>
          <w:szCs w:val="32"/>
          <w:lang w:val="en-US" w:eastAsia="zh-CN" w:bidi="ar-SA"/>
        </w:rPr>
        <w:t xml:space="preserve"> </w:t>
      </w:r>
      <w:r>
        <w:rPr>
          <w:rFonts w:hint="default" w:ascii="仿宋_GB2312" w:hAnsi="仿宋_GB2312" w:eastAsia="仿宋_GB2312" w:cs="仿宋_GB2312"/>
          <w:spacing w:val="0"/>
          <w:w w:val="100"/>
          <w:sz w:val="32"/>
          <w:szCs w:val="32"/>
          <w:lang w:val="en-US" w:eastAsia="zh-CN" w:bidi="ar-SA"/>
        </w:rPr>
        <w:t>古树名木原则上实行原地保护，不得移植。有下列情形之一，确需移植古树名木的，建设单位应当提出移植申请并提交相应的移植和养护方案，按照涉及古树名木的最高保护等级，经认定该古树名木的县级以上地方人民政府古树名木主管部门审核并报本级人民政府批准：（一）国家能源、交通、水利、军事设施等重点建设项目选址确实无法避让古树名木；（二）省、自治区、直辖市能源、交通、水利等重点建设项目选址确实无法避让实行二级保护、三级保护的古树；（三）其他基础设施建设项目选址确实无法避让实行三级保护的古树。古树名木的生长状况可能危害公众生命安全，采取修剪、支撑等防护措施仍无法消除安全隐患的，由县级人民政府古树名木主管部门提出相应的移植和养护方案，按照管理权限报有关人民政府批准。</w:t>
      </w:r>
    </w:p>
    <w:p w14:paraId="0C12EB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第二十三条</w:t>
      </w:r>
      <w:r>
        <w:rPr>
          <w:rFonts w:hint="eastAsia" w:ascii="仿宋_GB2312" w:hAnsi="仿宋_GB2312" w:eastAsia="仿宋_GB2312" w:cs="仿宋_GB2312"/>
          <w:spacing w:val="0"/>
          <w:w w:val="100"/>
          <w:sz w:val="32"/>
          <w:szCs w:val="32"/>
          <w:lang w:val="en-US" w:eastAsia="zh-CN" w:bidi="ar-SA"/>
        </w:rPr>
        <w:t xml:space="preserve"> </w:t>
      </w:r>
      <w:r>
        <w:rPr>
          <w:rFonts w:hint="default" w:ascii="仿宋_GB2312" w:hAnsi="仿宋_GB2312" w:eastAsia="仿宋_GB2312" w:cs="仿宋_GB2312"/>
          <w:spacing w:val="0"/>
          <w:w w:val="100"/>
          <w:sz w:val="32"/>
          <w:szCs w:val="32"/>
          <w:lang w:val="en-US" w:eastAsia="zh-CN" w:bidi="ar-SA"/>
        </w:rPr>
        <w:t>县级以上人民政府古树名木主管部门依照本条例规定，按照职责分工对古树名木保护管理等活动进行监督检查，有权采取下列措施：（一）询问被检查单位、个人，要求其对与监督检查事项有关的情况作出说明；（二）进行现场检查；（三）查阅、复制有关文件、资料，对可能被转移、销毁、隐匿或者篡改的文件、资料予以封存；（四）查封、扣押涉嫌违法活动的场所、设施或者财物。县级以上人民政府古树名木主管部门依法进行监督检查，有关单位、个人应当予以配合，不得拒绝、阻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C1F21"/>
    <w:rsid w:val="09B4533A"/>
    <w:rsid w:val="260A6FD1"/>
    <w:rsid w:val="32EC322D"/>
    <w:rsid w:val="355B0923"/>
    <w:rsid w:val="431A30B2"/>
    <w:rsid w:val="4FAA1A21"/>
    <w:rsid w:val="58733E4A"/>
    <w:rsid w:val="5F83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Times New Roman" w:hAnsi="Times New Roman" w:eastAsia="方正小标宋简体" w:cs="Times New Roman"/>
      <w:spacing w:val="-20"/>
      <w:w w:val="80"/>
      <w:sz w:val="96"/>
      <w:szCs w:val="9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黑体"/>
      <w:b/>
      <w:sz w:val="32"/>
    </w:rPr>
  </w:style>
  <w:style w:type="paragraph" w:styleId="4">
    <w:name w:val="heading 3"/>
    <w:basedOn w:val="1"/>
    <w:next w:val="1"/>
    <w:link w:val="7"/>
    <w:semiHidden/>
    <w:unhideWhenUsed/>
    <w:qFormat/>
    <w:uiPriority w:val="0"/>
    <w:pPr>
      <w:keepNext/>
      <w:keepLines/>
      <w:spacing w:beforeLines="0" w:beforeAutospacing="0" w:afterLines="0" w:afterAutospacing="0" w:line="560" w:lineRule="exact"/>
      <w:outlineLvl w:val="2"/>
    </w:pPr>
    <w:rPr>
      <w:rFonts w:eastAsia="楷体_GB2312" w:asciiTheme="minorAscii" w:hAnsiTheme="minorAscii"/>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楷体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Words>
  <Characters>40</Characters>
  <Lines>0</Lines>
  <Paragraphs>0</Paragraphs>
  <TotalTime>66</TotalTime>
  <ScaleCrop>false</ScaleCrop>
  <LinksUpToDate>false</LinksUpToDate>
  <CharactersWithSpaces>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2021-03-23T02:39:00Z</dcterms:created>
  <dc:creator>Administrator</dc:creator>
  <cp:lastModifiedBy>Resign.</cp:lastModifiedBy>
  <dcterms:modified xsi:type="dcterms:W3CDTF">2025-07-09T06:51:22Z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A09517C8445A49D4BA280872AD682849_13</vt:lpwstr>
  </property>
  <property fmtid="{D5CDD505-2E9C-101B-9397-08002B2CF9AE}" pid="4" name="KSOTemplateDocerSaveRecord">
    <vt:lpwstr>eyJoZGlkIjoiZGY2NWJhZDk1NGIwMzBmYzk5NWJjNTRiMzAxYzdlNjQiLCJ1c2VySWQiOiIyNjk5NzE3ODUifQ==</vt:lpwstr>
  </property>
</Properties>
</file>